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5"/>
        <w:framePr w:w="2422" w:h="581" w:wrap="around" w:vAnchor="text" w:hAnchor="margin" w:x="6764" w:y="13890"/>
        <w:widowControl w:val="0"/>
        <w:keepNext w:val="0"/>
        <w:keepLines w:val="0"/>
        <w:shd w:val="clear" w:color="auto" w:fill="auto"/>
        <w:bidi w:val="0"/>
        <w:jc w:val="left"/>
        <w:spacing w:before="0" w:after="0" w:line="580" w:lineRule="exact"/>
        <w:ind w:left="100" w:right="0" w:firstLine="0"/>
      </w:pPr>
      <w:r>
        <w:rPr>
          <w:rStyle w:val="CharStyle7"/>
          <w:i/>
          <w:iCs/>
          <w:spacing w:val="-50"/>
        </w:rPr>
        <w:t xml:space="preserve">£&gt;*/ -У-/ </w:t>
      </w:r>
      <w:r>
        <w:rPr>
          <w:rStyle w:val="CharStyle8"/>
          <w:i/>
          <w:iCs/>
        </w:rPr>
        <w:t>ф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460" w:right="2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по Воронежской области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246"/>
        <w:ind w:left="4460" w:right="2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394000, г. Воронеж, ул. К. Маркса, 55 </w:t>
      </w:r>
      <w:r>
        <w:fldChar w:fldCharType="begin"/>
      </w:r>
      <w:r>
        <w:rPr>
          <w:color w:val="000000"/>
        </w:rPr>
        <w:instrText> HYPERLINK "mailto:to36@fas.gov.ru"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to36@fas.gov.ru</w:t>
      </w:r>
      <w:r>
        <w:fldChar w:fldCharType="end"/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 w:line="270" w:lineRule="exact"/>
        <w:ind w:left="44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 (Уполномоченный орган):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243" w:line="270" w:lineRule="exact"/>
        <w:ind w:left="4460" w:right="2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Управление по регулированию контрактной системы в сфере закупок Воронежской области 394036, г. Воронеж, ул. К. Маркса, 80 </w:t>
      </w:r>
      <w:r>
        <w:fldChar w:fldCharType="begin"/>
      </w:r>
      <w:r>
        <w:rPr>
          <w:color w:val="000000"/>
        </w:rPr>
        <w:instrText> HYPERLINK "mailto:zakupki@govvrn.ru"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zakupki@govvrn.ru</w:t>
      </w:r>
      <w:r>
        <w:fldChar w:fldCharType="end"/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 w:line="266" w:lineRule="exact"/>
        <w:ind w:left="44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Заявитель: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66" w:lineRule="exact"/>
        <w:ind w:left="44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«НПК «Альфа»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66" w:lineRule="exact"/>
        <w:ind w:left="44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344019, г. Ростов-на-Дону, ул. 9 линия, д. 71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66" w:lineRule="exact"/>
        <w:ind w:left="44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8 (863) 283-00-96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66" w:lineRule="exact"/>
        <w:ind w:left="44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8-918-547-02-18</w:t>
      </w:r>
    </w:p>
    <w:p>
      <w:pPr>
        <w:pStyle w:val="Style9"/>
        <w:tabs>
          <w:tab w:leader="none" w:pos="5247" w:val="center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34" w:line="266" w:lineRule="exact"/>
        <w:ind w:left="3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Исх. №177 от 01.11.2017г.</w:t>
        <w:tab/>
      </w:r>
      <w:r>
        <w:fldChar w:fldCharType="begin"/>
      </w:r>
      <w:r>
        <w:rPr>
          <w:color w:val="000000"/>
        </w:rPr>
        <w:instrText> HYPERLINK "mailto:info@fdpro.com"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info@fdpro.com</w:t>
      </w:r>
      <w:r>
        <w:fldChar w:fldCharType="end"/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center"/>
        <w:spacing w:before="0" w:after="243" w:line="274" w:lineRule="exact"/>
        <w:ind w:left="0" w:right="1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Жалоба на действия заказчика (уполномоченного органа) при проведении закупки №0131200001017004225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70" w:lineRule="exact"/>
        <w:ind w:left="16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по регулированию контрактной системы в сфере закупок Воронежской области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footnoteReference w:id="2"/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25.10.2017г. разместило на сайте </w:t>
      </w:r>
      <w:r>
        <w:fldChar w:fldCharType="begin"/>
      </w:r>
      <w:r>
        <w:rPr>
          <w:color w:val="000000"/>
        </w:rPr>
        <w:instrText> HYPERLINK "http://www.zakupki.gov.ru"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www.zakupki.gov.ru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извещение о проведении электронного аукциона №0131200001017004225 «4208 / Совместный электронный аукцион на право заключить государственные контракты / контракты на поставку дезинфицирующих средств субъектами малого предпринимательства, социально ориентированными некоммерческими организациями в 2017 году» с общей начальной (максимальной) ценой контракта 128 544,00 рублей.</w:t>
      </w:r>
    </w:p>
    <w:p>
      <w:pPr>
        <w:pStyle w:val="Style9"/>
        <w:tabs>
          <w:tab w:leader="underscore" w:pos="9466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16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Ознакомившись с Частью 3 «Описание объекта закупки»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footnoteReference w:id="3"/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документации об аукционе, мы обнаружили, что Уполномоченным органом предложен к закупке товар со </w:t>
      </w:r>
      <w:r>
        <w:rPr>
          <w:rStyle w:val="CharStyle14"/>
        </w:rPr>
        <w:t>следующими характеристиками:</w:t>
      </w:r>
      <w:r>
        <w:rPr>
          <w:lang w:val="ru-RU" w:eastAsia="ru-RU" w:bidi="ru-RU"/>
          <w:w w:val="100"/>
          <w:spacing w:val="0"/>
          <w:color w:val="000000"/>
          <w:position w:val="0"/>
        </w:rPr>
        <w:tab/>
      </w:r>
    </w:p>
    <w:tbl>
      <w:tblPr>
        <w:tblOverlap w:val="never"/>
        <w:tblLayout w:type="fixed"/>
        <w:jc w:val="center"/>
      </w:tblPr>
      <w:tblGrid>
        <w:gridCol w:w="601"/>
        <w:gridCol w:w="2300"/>
        <w:gridCol w:w="4853"/>
        <w:gridCol w:w="713"/>
        <w:gridCol w:w="1015"/>
      </w:tblGrid>
      <w:tr>
        <w:trPr>
          <w:trHeight w:val="569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9"/>
              <w:framePr w:w="948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60" w:line="210" w:lineRule="exact"/>
              <w:ind w:left="180" w:right="0" w:firstLine="0"/>
            </w:pPr>
            <w:r>
              <w:rPr>
                <w:rStyle w:val="CharStyle18"/>
              </w:rPr>
              <w:t>№</w:t>
            </w:r>
          </w:p>
          <w:p>
            <w:pPr>
              <w:pStyle w:val="Style9"/>
              <w:framePr w:w="948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60" w:after="0" w:line="210" w:lineRule="exact"/>
              <w:ind w:left="180" w:right="0" w:firstLine="0"/>
            </w:pPr>
            <w:r>
              <w:rPr>
                <w:rStyle w:val="CharStyle19"/>
              </w:rPr>
              <w:t>п/п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9"/>
              <w:framePr w:w="948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120" w:line="210" w:lineRule="exact"/>
              <w:ind w:left="0" w:right="0" w:firstLine="0"/>
            </w:pPr>
            <w:r>
              <w:rPr>
                <w:rStyle w:val="CharStyle19"/>
              </w:rPr>
              <w:t>Наименование</w:t>
            </w:r>
          </w:p>
          <w:p>
            <w:pPr>
              <w:pStyle w:val="Style9"/>
              <w:framePr w:w="948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120" w:after="0" w:line="210" w:lineRule="exact"/>
              <w:ind w:left="0" w:right="0" w:firstLine="0"/>
            </w:pPr>
            <w:r>
              <w:rPr>
                <w:rStyle w:val="CharStyle19"/>
              </w:rPr>
              <w:t>товара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9"/>
              <w:framePr w:w="948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19"/>
              </w:rPr>
              <w:t>Техническое задание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9"/>
              <w:framePr w:w="948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120" w:line="210" w:lineRule="exact"/>
              <w:ind w:left="200" w:right="0" w:firstLine="0"/>
            </w:pPr>
            <w:r>
              <w:rPr>
                <w:rStyle w:val="CharStyle19"/>
              </w:rPr>
              <w:t>Ед.</w:t>
            </w:r>
          </w:p>
          <w:p>
            <w:pPr>
              <w:pStyle w:val="Style9"/>
              <w:framePr w:w="948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120" w:after="0" w:line="210" w:lineRule="exact"/>
              <w:ind w:left="200" w:right="0" w:firstLine="0"/>
            </w:pPr>
            <w:r>
              <w:rPr>
                <w:rStyle w:val="CharStyle19"/>
              </w:rPr>
              <w:t>изм.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9"/>
              <w:framePr w:w="948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120" w:line="210" w:lineRule="exact"/>
              <w:ind w:left="0" w:right="0" w:firstLine="0"/>
            </w:pPr>
            <w:r>
              <w:rPr>
                <w:rStyle w:val="CharStyle19"/>
              </w:rPr>
              <w:t>Всего,</w:t>
            </w:r>
          </w:p>
          <w:p>
            <w:pPr>
              <w:pStyle w:val="Style9"/>
              <w:framePr w:w="948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120" w:after="0" w:line="210" w:lineRule="exact"/>
              <w:ind w:left="0" w:right="0" w:firstLine="0"/>
            </w:pPr>
            <w:r>
              <w:rPr>
                <w:rStyle w:val="CharStyle19"/>
              </w:rPr>
              <w:t>кол-во</w:t>
            </w:r>
          </w:p>
        </w:tc>
      </w:tr>
      <w:tr>
        <w:trPr>
          <w:trHeight w:val="2988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9"/>
              <w:framePr w:w="948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10" w:lineRule="exact"/>
              <w:ind w:left="280" w:right="0" w:firstLine="0"/>
            </w:pPr>
            <w:r>
              <w:rPr>
                <w:rStyle w:val="CharStyle18"/>
              </w:rPr>
              <w:t>1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9"/>
              <w:framePr w:w="948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66" w:lineRule="exact"/>
              <w:ind w:left="120" w:right="0" w:firstLine="0"/>
            </w:pPr>
            <w:r>
              <w:rPr>
                <w:rStyle w:val="CharStyle18"/>
              </w:rPr>
              <w:t>Дез и н ф и ц и ру ющее средство на основе изопропилового спирта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9"/>
              <w:framePr w:w="948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70" w:lineRule="exact"/>
              <w:ind w:left="120" w:right="0" w:firstLine="0"/>
            </w:pPr>
            <w:r>
              <w:rPr>
                <w:rStyle w:val="CharStyle18"/>
              </w:rPr>
              <w:t>Дезинфицирующее средство на основе изопропилового спирта Назначение: Для дезинфекции малых по площади поверхностей. Концентрация действующего вещества: не менее 60%. Активность в отношении патогенов: Бактерицидная, вирулицидная, туберкулоцидная, фунгицидная.</w:t>
            </w:r>
          </w:p>
          <w:p>
            <w:pPr>
              <w:pStyle w:val="Style9"/>
              <w:framePr w:w="948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70" w:lineRule="exact"/>
              <w:ind w:left="120" w:right="0" w:firstLine="0"/>
            </w:pPr>
            <w:r>
              <w:rPr>
                <w:rStyle w:val="CharStyle18"/>
              </w:rPr>
              <w:t>Форма выпуска: Салфетки (готовые к применению), пропитанные раствором ДС. 50 штук в упаковке.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9"/>
              <w:framePr w:w="948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18"/>
              </w:rPr>
              <w:t>уп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9"/>
              <w:framePr w:w="948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18"/>
              </w:rPr>
              <w:t>520</w:t>
            </w:r>
          </w:p>
        </w:tc>
      </w:tr>
      <w:tr>
        <w:trPr>
          <w:trHeight w:val="299" w:hRule="exact"/>
        </w:trPr>
        <w:tc>
          <w:tcPr>
            <w:shd w:val="clear" w:color="auto" w:fill="FFFFFF"/>
            <w:gridSpan w:val="2"/>
            <w:tcBorders>
              <w:top w:val="single" w:sz="4"/>
            </w:tcBorders>
            <w:vAlign w:val="bottom"/>
          </w:tcPr>
          <w:p>
            <w:pPr>
              <w:pStyle w:val="Style9"/>
              <w:framePr w:w="948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right"/>
              <w:spacing w:before="0" w:after="0" w:line="210" w:lineRule="exact"/>
              <w:ind w:left="0" w:right="140" w:firstLine="0"/>
            </w:pPr>
            <w:r>
              <w:rPr>
                <w:rStyle w:val="CharStyle18"/>
              </w:rPr>
              <w:t>Согласно пунктам</w:t>
            </w:r>
          </w:p>
        </w:tc>
        <w:tc>
          <w:tcPr>
            <w:shd w:val="clear" w:color="auto" w:fill="FFFFFF"/>
            <w:gridSpan w:val="3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9"/>
              <w:framePr w:w="948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10" w:lineRule="exact"/>
              <w:ind w:left="80" w:right="0" w:firstLine="0"/>
            </w:pPr>
            <w:r>
              <w:rPr>
                <w:rStyle w:val="CharStyle18"/>
              </w:rPr>
              <w:t>, 2 части 1 статьи 33 Федерального закона от 05.04.2013 №4^</w:t>
            </w:r>
          </w:p>
        </w:tc>
      </w:tr>
    </w:tbl>
    <w:p>
      <w:pPr>
        <w:pStyle w:val="Style15"/>
        <w:framePr w:w="9482" w:wrap="notBeside" w:vAnchor="text" w:hAnchor="text" w:xAlign="center" w:y="1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ФЗ «О контрактной системе в сфере закупок товаров, работ, услуг для обеспечения государственных и муниципальных нужд»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3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, описание объекта закупки должно </w:t>
      </w:r>
      <w:r>
        <w:rPr>
          <w:rStyle w:val="CharStyle17"/>
        </w:rPr>
        <w:t>носить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17"/>
        </w:rPr>
        <w:t>объективный характер</w:t>
      </w:r>
      <w:r>
        <w:rPr>
          <w:lang w:val="ru-RU" w:eastAsia="ru-RU" w:bidi="ru-RU"/>
          <w:w w:val="100"/>
          <w:spacing w:val="0"/>
          <w:color w:val="000000"/>
          <w:position w:val="0"/>
        </w:rPr>
        <w:t>. При составлении описания объекта закупки должны использоваться показатели, требования, условные обозначения и терминология,</w:t>
      </w:r>
    </w:p>
    <w:p>
      <w:pPr>
        <w:widowControl w:val="0"/>
        <w:rPr>
          <w:sz w:val="2"/>
          <w:szCs w:val="2"/>
        </w:rPr>
      </w:pPr>
      <w:r>
        <w:br w:type="page"/>
      </w:r>
    </w:p>
    <w:p>
      <w:pPr>
        <w:widowControl w:val="0"/>
      </w:pPr>
      <w:r>
        <w:br w:type="page"/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70" w:lineRule="exact"/>
        <w:ind w:left="14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касающаяся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70" w:lineRule="exact"/>
        <w:ind w:left="140" w:right="20" w:firstLine="700"/>
      </w:pPr>
      <w:r>
        <w:rPr>
          <w:rStyle w:val="CharStyle20"/>
          <w:b w:val="0"/>
          <w:bCs w:val="0"/>
        </w:rPr>
        <w:t xml:space="preserve">В соответствии с частью 2 статьи 33 Закона № 44-ФЗ Документация о закупке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соответствии с требованиями, указанными в части 1 настоящей статьи, </w:t>
      </w:r>
      <w:r>
        <w:rPr>
          <w:rStyle w:val="CharStyle20"/>
          <w:b w:val="0"/>
          <w:bCs w:val="0"/>
        </w:rPr>
        <w:t xml:space="preserve">должна содержать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показатели, позволяющие определить соответствие закупаемых товара, работы, услуги установленным заказчиком требованиям.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70" w:lineRule="exact"/>
        <w:ind w:left="1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Письмом Минэкономразвития РФ от 12.04.2011 № Д22-577 «О разъяснении понятия «Технические характеристики товара», технические характеристики товара следует понимать, как совокупность технических (физических, химических, механических, органолептических и т.д.) характеристик товара, позволяющих отличить один товар от другого.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70" w:lineRule="exact"/>
        <w:ind w:left="1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Вместе с тем, сформированные в техническом задании требования к показателям антисептика сведены к минимуму и не позволяют ни заказчику, ни участнику объективно определить необходимое к поставке средство.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246" w:line="270" w:lineRule="exact"/>
        <w:ind w:left="1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Для готовых к применению средств для экспресс- обработки поверхностей, нанесенных на салфетки однократного применения, актуальными являются время</w:t>
      </w:r>
    </w:p>
    <w:tbl>
      <w:tblPr>
        <w:tblOverlap w:val="never"/>
        <w:tblLayout w:type="fixed"/>
        <w:jc w:val="center"/>
      </w:tblPr>
      <w:tblGrid>
        <w:gridCol w:w="533"/>
        <w:gridCol w:w="2290"/>
        <w:gridCol w:w="4759"/>
        <w:gridCol w:w="1930"/>
      </w:tblGrid>
      <w:tr>
        <w:trPr>
          <w:trHeight w:val="1778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9"/>
              <w:framePr w:w="951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10" w:lineRule="exact"/>
              <w:ind w:left="140" w:right="0" w:firstLine="0"/>
            </w:pPr>
            <w:r>
              <w:rPr>
                <w:rStyle w:val="CharStyle18"/>
              </w:rPr>
              <w:t>№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9"/>
              <w:framePr w:w="951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48" w:lineRule="exact"/>
              <w:ind w:left="120" w:right="0" w:firstLine="0"/>
            </w:pPr>
            <w:r>
              <w:rPr>
                <w:rStyle w:val="CharStyle21"/>
              </w:rPr>
              <w:t>Название</w:t>
            </w:r>
          </w:p>
          <w:p>
            <w:pPr>
              <w:pStyle w:val="Style9"/>
              <w:framePr w:w="951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48" w:lineRule="exact"/>
              <w:ind w:left="120" w:right="0" w:firstLine="0"/>
            </w:pPr>
            <w:r>
              <w:rPr>
                <w:rStyle w:val="CharStyle21"/>
              </w:rPr>
              <w:t>д ез и н ф и ци ру ю ще го средства(готового средства для экспресс - обработки поверхностей)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9"/>
              <w:framePr w:w="951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90" w:lineRule="exact"/>
              <w:ind w:left="120" w:right="0" w:firstLine="0"/>
            </w:pPr>
            <w:r>
              <w:rPr>
                <w:rStyle w:val="CharStyle21"/>
              </w:rPr>
              <w:t>Целевая активность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9"/>
              <w:framePr w:w="951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48" w:lineRule="exact"/>
              <w:ind w:left="120" w:right="0" w:firstLine="0"/>
            </w:pPr>
            <w:r>
              <w:rPr>
                <w:rStyle w:val="CharStyle21"/>
              </w:rPr>
              <w:t>Время</w:t>
            </w:r>
          </w:p>
          <w:p>
            <w:pPr>
              <w:pStyle w:val="Style9"/>
              <w:framePr w:w="951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48" w:lineRule="exact"/>
              <w:ind w:left="120" w:right="0" w:firstLine="0"/>
            </w:pPr>
            <w:r>
              <w:rPr>
                <w:rStyle w:val="CharStyle21"/>
              </w:rPr>
              <w:t>экспозиции при</w:t>
            </w:r>
          </w:p>
          <w:p>
            <w:pPr>
              <w:pStyle w:val="Style9"/>
              <w:framePr w:w="951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48" w:lineRule="exact"/>
              <w:ind w:left="120" w:right="0" w:firstLine="0"/>
            </w:pPr>
            <w:r>
              <w:rPr>
                <w:rStyle w:val="CharStyle21"/>
              </w:rPr>
              <w:t>обработке</w:t>
            </w:r>
          </w:p>
          <w:p>
            <w:pPr>
              <w:pStyle w:val="Style9"/>
              <w:framePr w:w="951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48" w:lineRule="exact"/>
              <w:ind w:left="120" w:right="0" w:firstLine="0"/>
            </w:pPr>
            <w:r>
              <w:rPr>
                <w:rStyle w:val="CharStyle21"/>
              </w:rPr>
              <w:t>поверхностей в</w:t>
            </w:r>
          </w:p>
          <w:p>
            <w:pPr>
              <w:pStyle w:val="Style9"/>
              <w:framePr w:w="951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48" w:lineRule="exact"/>
              <w:ind w:left="120" w:right="0" w:firstLine="0"/>
            </w:pPr>
            <w:r>
              <w:rPr>
                <w:rStyle w:val="CharStyle21"/>
              </w:rPr>
              <w:t>отношении</w:t>
            </w:r>
          </w:p>
          <w:p>
            <w:pPr>
              <w:pStyle w:val="Style9"/>
              <w:framePr w:w="951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48" w:lineRule="exact"/>
              <w:ind w:left="120" w:right="0" w:firstLine="0"/>
            </w:pPr>
            <w:r>
              <w:rPr>
                <w:rStyle w:val="CharStyle21"/>
              </w:rPr>
              <w:t>бактериальных</w:t>
            </w:r>
          </w:p>
          <w:p>
            <w:pPr>
              <w:pStyle w:val="Style9"/>
              <w:framePr w:w="951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48" w:lineRule="exact"/>
              <w:ind w:left="120" w:right="0" w:firstLine="0"/>
            </w:pPr>
            <w:r>
              <w:rPr>
                <w:rStyle w:val="CharStyle21"/>
              </w:rPr>
              <w:t>инфекций</w:t>
            </w:r>
          </w:p>
        </w:tc>
      </w:tr>
      <w:tr>
        <w:trPr>
          <w:trHeight w:val="2268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9"/>
              <w:framePr w:w="951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10" w:lineRule="exact"/>
              <w:ind w:left="140" w:right="0" w:firstLine="0"/>
            </w:pPr>
            <w:r>
              <w:rPr>
                <w:rStyle w:val="CharStyle18"/>
              </w:rPr>
              <w:t>1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9"/>
              <w:framePr w:w="951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48" w:lineRule="exact"/>
              <w:ind w:left="120" w:right="0" w:firstLine="0"/>
            </w:pPr>
            <w:r>
              <w:rPr>
                <w:rStyle w:val="CharStyle21"/>
              </w:rPr>
              <w:t xml:space="preserve">ФОРИДРАИ </w:t>
            </w:r>
            <w:r>
              <w:rPr>
                <w:rStyle w:val="CharStyle18"/>
              </w:rPr>
              <w:t xml:space="preserve">(70%, </w:t>
            </w:r>
            <w:r>
              <w:rPr>
                <w:rStyle w:val="CharStyle21"/>
              </w:rPr>
              <w:t>спрей),</w:t>
            </w:r>
          </w:p>
          <w:p>
            <w:pPr>
              <w:pStyle w:val="Style9"/>
              <w:framePr w:w="951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48" w:lineRule="exact"/>
              <w:ind w:left="120" w:right="0" w:firstLine="0"/>
            </w:pPr>
            <w:r>
              <w:rPr>
                <w:rStyle w:val="CharStyle21"/>
              </w:rPr>
              <w:t>ООО НПК «Альфа»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9"/>
              <w:framePr w:w="951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48" w:lineRule="exact"/>
              <w:ind w:left="120" w:right="0" w:firstLine="0"/>
            </w:pPr>
            <w:r>
              <w:rPr>
                <w:rStyle w:val="CharStyle21"/>
              </w:rPr>
              <w:t xml:space="preserve">Средство обладает бактерицидными (в отношении грамотрицательных и грамположительных бактерий, в том числе в отношении возбудителей внутрибольничных инфекций (ВБИ), туберкулоцидными (тестировано на </w:t>
            </w:r>
            <w:r>
              <w:rPr>
                <w:rStyle w:val="CharStyle21"/>
                <w:lang w:val="en-US" w:eastAsia="en-US" w:bidi="en-US"/>
              </w:rPr>
              <w:t xml:space="preserve">Mycobacterium terrae, Mycobacterium tuberculosis), </w:t>
            </w:r>
            <w:r>
              <w:rPr>
                <w:rStyle w:val="CharStyle21"/>
              </w:rPr>
              <w:t>вирулицидными и фунгицидными свойствами. Средство также активно в отношении плесени.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9"/>
              <w:framePr w:w="951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90" w:lineRule="exact"/>
              <w:ind w:left="120" w:right="0" w:firstLine="0"/>
            </w:pPr>
            <w:r>
              <w:rPr>
                <w:rStyle w:val="CharStyle21"/>
              </w:rPr>
              <w:t>1 минута</w:t>
            </w:r>
          </w:p>
        </w:tc>
      </w:tr>
      <w:tr>
        <w:trPr>
          <w:trHeight w:val="1264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9"/>
              <w:framePr w:w="951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90" w:lineRule="exact"/>
              <w:ind w:left="140" w:right="0" w:firstLine="0"/>
            </w:pPr>
            <w:r>
              <w:rPr>
                <w:rStyle w:val="CharStyle21"/>
              </w:rPr>
              <w:t>2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9"/>
              <w:framePr w:w="951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56" w:lineRule="exact"/>
              <w:ind w:left="120" w:right="0" w:firstLine="0"/>
            </w:pPr>
            <w:r>
              <w:rPr>
                <w:rStyle w:val="CharStyle21"/>
              </w:rPr>
              <w:t>СЕПТИЗОЛ, ООО «Самарово»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9"/>
              <w:framePr w:w="951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48" w:lineRule="exact"/>
              <w:ind w:left="120" w:right="0" w:firstLine="0"/>
            </w:pPr>
            <w:r>
              <w:rPr>
                <w:rStyle w:val="CharStyle21"/>
              </w:rPr>
              <w:t>Средство обладает антимикробной активностью в отношении грампо</w:t>
              <w:softHyphen/>
              <w:t>ложительных (включая микобактерии туберкулеза) и грамотрицательных бактерий, грибов, а таюке вирусов.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9"/>
              <w:framePr w:w="951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10" w:lineRule="exact"/>
              <w:ind w:left="120" w:right="0" w:firstLine="0"/>
            </w:pPr>
            <w:r>
              <w:rPr>
                <w:rStyle w:val="CharStyle18"/>
              </w:rPr>
              <w:t xml:space="preserve">5 </w:t>
            </w:r>
            <w:r>
              <w:rPr>
                <w:rStyle w:val="CharStyle21"/>
              </w:rPr>
              <w:t>минут</w:t>
            </w:r>
          </w:p>
        </w:tc>
      </w:tr>
      <w:tr>
        <w:trPr>
          <w:trHeight w:val="1249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9"/>
              <w:framePr w:w="951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90" w:lineRule="exact"/>
              <w:ind w:left="140" w:right="0" w:firstLine="0"/>
            </w:pPr>
            <w:r>
              <w:rPr>
                <w:rStyle w:val="CharStyle21"/>
              </w:rPr>
              <w:t>3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9"/>
              <w:framePr w:w="951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45" w:lineRule="exact"/>
              <w:ind w:left="120" w:right="0" w:firstLine="0"/>
            </w:pPr>
            <w:r>
              <w:rPr>
                <w:rStyle w:val="CharStyle21"/>
              </w:rPr>
              <w:t>ЭКОБРИЗ САЛФЕТКИ, ЗАО "ЭФТИ Косметике"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9"/>
              <w:framePr w:w="951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45" w:lineRule="exact"/>
              <w:ind w:left="120" w:right="0" w:firstLine="0"/>
            </w:pPr>
            <w:r>
              <w:rPr>
                <w:rStyle w:val="CharStyle21"/>
              </w:rPr>
              <w:t>Средство обладает антимикробной активностью в отношении грампо</w:t>
              <w:softHyphen/>
              <w:t>ложительных (включая микобактерии туберкулеза) и грамотрицательных бактерий, грибов, а также вирусов.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9"/>
              <w:framePr w:w="951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90" w:lineRule="exact"/>
              <w:ind w:left="120" w:right="0" w:firstLine="0"/>
            </w:pPr>
            <w:r>
              <w:rPr>
                <w:rStyle w:val="CharStyle21"/>
              </w:rPr>
              <w:t>3 минуты</w:t>
            </w:r>
          </w:p>
        </w:tc>
      </w:tr>
      <w:tr>
        <w:trPr>
          <w:trHeight w:val="295" w:hRule="exact"/>
        </w:trPr>
        <w:tc>
          <w:tcPr>
            <w:shd w:val="clear" w:color="auto" w:fill="FFFFFF"/>
            <w:tcBorders>
              <w:top w:val="single" w:sz="4"/>
            </w:tcBorders>
            <w:vAlign w:val="top"/>
          </w:tcPr>
          <w:p>
            <w:pPr>
              <w:framePr w:w="9511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top w:val="single" w:sz="4"/>
            </w:tcBorders>
            <w:vAlign w:val="bottom"/>
          </w:tcPr>
          <w:p>
            <w:pPr>
              <w:pStyle w:val="Style9"/>
              <w:framePr w:w="951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10" w:lineRule="exact"/>
              <w:ind w:left="320" w:right="0" w:firstLine="0"/>
            </w:pPr>
            <w:r>
              <w:rPr>
                <w:rStyle w:val="CharStyle18"/>
              </w:rPr>
              <w:t>Из приведенного</w:t>
            </w:r>
          </w:p>
        </w:tc>
        <w:tc>
          <w:tcPr>
            <w:shd w:val="clear" w:color="auto" w:fill="FFFFFF"/>
            <w:tcBorders>
              <w:top w:val="single" w:sz="4"/>
            </w:tcBorders>
            <w:vAlign w:val="bottom"/>
          </w:tcPr>
          <w:p>
            <w:pPr>
              <w:pStyle w:val="Style9"/>
              <w:framePr w:w="951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10" w:lineRule="exact"/>
              <w:ind w:left="20" w:right="0" w:firstLine="0"/>
            </w:pPr>
            <w:r>
              <w:rPr>
                <w:rStyle w:val="CharStyle18"/>
              </w:rPr>
              <w:t xml:space="preserve">анализа видно, что например </w:t>
            </w:r>
            <w:r>
              <w:rPr>
                <w:rStyle w:val="CharStyle21"/>
              </w:rPr>
              <w:t xml:space="preserve">у </w:t>
            </w:r>
            <w:r>
              <w:rPr>
                <w:rStyle w:val="CharStyle18"/>
              </w:rPr>
              <w:t>средства с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9"/>
              <w:framePr w:w="951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10" w:lineRule="exact"/>
              <w:ind w:left="0" w:right="0" w:firstLine="0"/>
            </w:pPr>
            <w:r>
              <w:rPr>
                <w:rStyle w:val="CharStyle21"/>
              </w:rPr>
              <w:t xml:space="preserve">ЕЮРИДРАИ </w:t>
            </w:r>
            <w:r>
              <w:rPr>
                <w:rStyle w:val="CharStyle18"/>
              </w:rPr>
              <w:t>(70%,</w:t>
            </w:r>
          </w:p>
        </w:tc>
      </w:tr>
    </w:tbl>
    <w:p>
      <w:pPr>
        <w:pStyle w:val="Style15"/>
        <w:framePr w:w="9511" w:wrap="notBeside" w:vAnchor="text" w:hAnchor="text" w:xAlign="center" w:y="1"/>
        <w:widowControl w:val="0"/>
        <w:keepNext w:val="0"/>
        <w:keepLines w:val="0"/>
        <w:shd w:val="clear" w:color="auto" w:fill="auto"/>
        <w:bidi w:val="0"/>
        <w:spacing w:before="0" w:after="0" w:line="277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спрей), ООО НПК «Альфа» время экспозиции при обработке поверхностей в отношении бактериальных инфекций составляет 1 минуту, и имеет широкий спектр целевой активности - обладает бактерицидными (в отношении грамотрицательных и грамположительных бактерий, в том числе в отношении возбудителей внутрибольничных</w:t>
      </w:r>
    </w:p>
    <w:p>
      <w:pPr>
        <w:widowControl w:val="0"/>
        <w:rPr>
          <w:sz w:val="2"/>
          <w:szCs w:val="2"/>
        </w:rPr>
      </w:pP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70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инфекций (ВБИ), туберкулоцидными (тестировано на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Mycobacterium terrae, Mycobacterium tuberculosis),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вирулицидными и фунгицидными свойствами. Средство также активно в отношении плесени. Одновременно, к указанному ТЗ также подходит средство СЕПТИЗОЛ, ООО «Самарово», с меньшим спектром целевой активности и, напротив, временем экспозиции в 5 минут.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70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Поэтому, для корректного сравнения препаратов в обязательном порядке должны быть указаны время экспозиции при обработке объектов и их целевая антимикробная активность.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70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Нам не понятно, чем именно руководствовался и исходя из каких соображений осуществлял расчет своей потребности в данном дезинфицирующем средстве Заказчик, </w:t>
      </w:r>
      <w:r>
        <w:rPr>
          <w:rStyle w:val="CharStyle14"/>
        </w:rPr>
        <w:t>если основные показатели - время экспозиции при обработке объектов, целевая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14"/>
        </w:rPr>
        <w:t>антимикробная активность, в описании объекта закупки не применяются.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70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Такое описание объекта закупки подтверждает доводы ООО НПК «Альфа», изложенные ранее в Заявлении №134 от 06.09.2017г., направленном в Центральный аппарат ФАС России (см. Приложение №1).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70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 нашему мнению, «Рабочая группа», созданная Департаментом здравоохранения Воронежской области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footnoteReference w:id="4"/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совместно с Организатором - Казенным учреждением Воронежской области «Центр обеспечения деятельности учреждений здравоохранения»'*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1</w:t>
      </w:r>
      <w:r>
        <w:rPr>
          <w:lang w:val="ru-RU" w:eastAsia="ru-RU" w:bidi="ru-RU"/>
          <w:w w:val="100"/>
          <w:spacing w:val="0"/>
          <w:color w:val="000000"/>
          <w:position w:val="0"/>
        </w:rPr>
        <w:t>, утвержденным Приказом №492 от 15.03.2016г. (с изм. от 30.03.2017г.) «Об организации проведения совместных закупок», продолжает заниматься согласованием ассортимента товара для Заказчиков совместного аукциона, посредством компьютерной программы («1C: Бухгалтерия государственного учреждения», версия 8.3)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footnoteReference w:id="5"/>
      </w:r>
      <w:r>
        <w:rPr>
          <w:lang w:val="ru-RU" w:eastAsia="ru-RU" w:bidi="ru-RU"/>
          <w:w w:val="100"/>
          <w:spacing w:val="0"/>
          <w:color w:val="000000"/>
          <w:position w:val="0"/>
        </w:rPr>
        <w:t>, которая фактически представляет инструмент по понуждению Заказчиков к закупкам товаров, предварительно отфильтрованных «Рабочей группой», что является нарушением части 2 статьи 8 Закона №44-ФЗ, когда происходит ограничение добросовестной конкуренции путем создания необъективного технического задания. Аукционы, созданные на основе технического задания из Программы, а не исходя из собственных реальных потребностей Заказчиков, ЗАВЕДОМО СОДЕРЖАТ НАРУШЕНИЕ ЧАСТИ 2 СТАТЬИ 8 ЗАКОНА № 44-ФЗ.</w:t>
      </w:r>
    </w:p>
    <w:p>
      <w:pPr>
        <w:pStyle w:val="Style9"/>
        <w:tabs>
          <w:tab w:leader="none" w:pos="5028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0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Согласно позиции Верховного Суда Российской Федерации, изложенной в Обзоре судебной практики применения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28.06.2017г., в части 2 статьи 8 Закона №44-ФЗ содержится </w:t>
      </w:r>
      <w:r>
        <w:rPr>
          <w:rStyle w:val="CharStyle22"/>
        </w:rPr>
        <w:t>явно выраженный законодательный запрет:</w:t>
        <w:tab/>
      </w:r>
      <w:r>
        <w:rPr>
          <w:lang w:val="ru-RU" w:eastAsia="ru-RU" w:bidi="ru-RU"/>
          <w:w w:val="100"/>
          <w:spacing w:val="0"/>
          <w:color w:val="000000"/>
          <w:position w:val="0"/>
        </w:rPr>
        <w:t>запрещается совершение заказчиками,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70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специализированными организациями, их должностными лицами, комиссиями по осуществлению закупок, членами таких комиссий, участниками закупок любых действий, которые противоречат требованиям Закона №44-ФЗ, в том числе приводят к ограничению конкуренции, в частности к необоснованному ограничению числа участников закупок.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70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 целям контрактной системы в силу статей 1, 6 и 8 Закона №44-ФЗ отнесены повышение эффективности, результативность осуществления закупок товаров, работ, услуг, обеспечения гласности и прозрачности осуществления таких закупок, предотвращение коррупции и других злоупотреблений, создание равных условий для участников.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70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Считаем, что для выяснения принципа формирования описания объекта данной закупки, каждый принимающий участие в указанном совместном аукционе Заказчик должен пояснить, каким именно образом он формировал свою потребность в указанном дезинфицирующем средстве.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70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Кроме того, учитывая вышеизложенное, мы полагаем, что действия Департамента и КУВО «ЦОДУЗ» содержат признаки нарушения части 1 статьи 15 Федерального закона от 26.07.2006 № 135-ФЗ «О защите конкуренции»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footnoteReference w:id="6"/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. А именно, пунктом 2 части 1 статьи 15 Закона № 135-ФЗ органам государственной власти субъектов Российской Федерации, </w:t>
      </w:r>
      <w:r>
        <w:rPr>
          <w:rStyle w:val="CharStyle14"/>
        </w:rPr>
        <w:t>иным осуществляющим функции указанных органов органам или организациям</w:t>
      </w:r>
      <w:r>
        <w:rPr>
          <w:lang w:val="ru-RU" w:eastAsia="ru-RU" w:bidi="ru-RU"/>
          <w:w w:val="100"/>
          <w:spacing w:val="0"/>
          <w:color w:val="000000"/>
          <w:position w:val="0"/>
        </w:rPr>
        <w:t>, запрещается принимать акты и (или) осуществлять действия (бездействие), которые приводят или могут привести к недопущению, ограничению, устранению конкуренции, в частности, запрещаются необоснованное препятствование осуществлению деятельности хозяйствующими субъектами, в том числе путём установления не предусмотренных законодательством Российской Федерации требований к товарам или к хозяйствующим субъектам. Другими словами, своими действиями «Рабочая группа», с использованием Программы, ограничивает возможность Заказчика самостоятельно составлять описание объекта закупки, в соответствии со своими реальными потребностями, в то время как Департамент и КУВО «ЦОДУЗ» нарушают запрет, установленный пунктом 2 части 1 статьи 15 Закона № 135-ФЗ, что приводит к необъективным требованиям к товарам (дезинфицирующим средствам) и перерасходу денежных средств Заказчиков.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70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Частью 2 статьи 8 Закона № 44-ФЗ установлено, что запрещается совершение заказчиками действий, которые противоречат требованиям настоящего Федерального закона, в том числе приводят к ограничению конкуренции, в частности к необоснованному ограничению числа участников закупок.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70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 учётом изложенного, данный совместный аукцион организован с нарушениями части 2 статьи 8 Закона № 44-ФЗ, поскольку происходит ограничение добросовестной конкуренции путём создания необъективного технического задания, сформированного при помощи Программы.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70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Также считаем, что в действиях Уполномоченного органа содержится нарушение статьи 33 Закона № 44-ФЗ, а также пункта 1 части 1 статьи 17 Закона № 135-ФЗ.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70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Дополнительно сообщаем, что 19.10.2017г. ООО НПК «Альфа» направлено Заявление №162 в Прокуратуру Воронежской области (см. Приложение №2), по факту проверки действий должностных лиц Департамента и КУВО «ЦОДУЗ» (Меремьянина Л.В., Лавровой Н.Н.), на предмет законности выдачи ими любых «рекомендаций» в адрес медицинских организаций Воронежской области, связанных с формированием их индивидуальных потребностей в дезинфицирующих средствах, а также в части наделения себя полномочиями по отчуждению и распоряжению денежными средствами подведомственных медицинских организаций и на содержание признаков составов преступлений, предусмотренных статьями 285 и 286 Уголовного кодекса РФ (злоупотребление либо превышение должностных полномочий).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70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Стоит отметить, что в 2016г. в адрес КУВО «ЦОДУЗ» Воронежским У ФАС России уже было выдано Предупреждение «О прекращении действий (бездействий), которые содержат признаки нарушения антимонопольного законодательства» (исх. № 02-16/2439 от 15.07.2016). После неисполнения выданного Воронежским УФАС России предупреждения было выявлено нарушение данным органом власти статьи 15 Закона № 135-ФЗ и выдано Предписание о нарушении антимонопольного законодательства (исх. № 02-16/50 от 10.01.2017).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228" w:line="270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Руководствуясь положениями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208" w:line="210" w:lineRule="exact"/>
        <w:ind w:left="46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ПРОШУ:</w:t>
      </w:r>
    </w:p>
    <w:p>
      <w:pPr>
        <w:pStyle w:val="Style9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Признать жалобу ООО «НПК «Альфа» обоснованной.</w:t>
      </w:r>
    </w:p>
    <w:p>
      <w:pPr>
        <w:pStyle w:val="Style9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Признать Управление по регулированию контрактной системы в сфере закупок Воронежской области нарушившим часть 2 статьи 8, часть 1 статьи 33 Федерального</w:t>
        <w:br w:type="page"/>
        <w:t>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Style9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0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Выдать Управлению по регулированию контрактной системы в сфере закупок Воронежской области предписание об аннулировании электронного аукциона №0131200001017004225 «4208 / Совместный электронный аукцион на право заключить государственные контракты / контракты на поставку дезинфицирующих средств субъектами малого предпринимательства, социально ориентированными некоммерческими организациями в 2017 году».</w:t>
      </w:r>
    </w:p>
    <w:p>
      <w:pPr>
        <w:pStyle w:val="Style9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0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Признать Управление по регулированию контрактной системы в сфере закупок Воронежской области нарушившим пункт 1 части 1 статьи 17 Федерального закона от 26.07.2006 № 135-ФЗ «О защите конкуренции».</w:t>
      </w:r>
    </w:p>
    <w:p>
      <w:pPr>
        <w:pStyle w:val="Style9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0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 связи со сложно выявляемым характером указанных правонарушений, просим Вас произвести запрос информации от каждого Заказчика, принимающего участие в совместном аукционе №0131200001017004225, о том, исходя из каких соображений и каким именно образом формировался расчет потребности ЛПУ в данном дезинфицирующем средстве.</w:t>
      </w:r>
    </w:p>
    <w:p>
      <w:pPr>
        <w:pStyle w:val="Style9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0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Привлечь Департамент здравоохранения Воронежской области и КУВО «ЦОДУЗ» к рассмотрению данной жалобы в качестве заинтересованных лиц, рассмотреть вопрос о признаках нарушения Части 2 статьи 8 Закона № 44-ФЗ в части использования компьютерной программы («1C: Бухгалтерия государственного учреждения», версия 8.3) при организации совместного аукциона №0131200001017004225.</w:t>
      </w:r>
    </w:p>
    <w:p>
      <w:pPr>
        <w:pStyle w:val="Style9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237" w:line="270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Привлечь виновных лиц к административной ответственности.</w:t>
      </w:r>
    </w:p>
    <w:p>
      <w:pPr>
        <w:pStyle w:val="Style23"/>
        <w:widowControl w:val="0"/>
        <w:keepNext/>
        <w:keepLines/>
        <w:shd w:val="clear" w:color="auto" w:fill="auto"/>
        <w:bidi w:val="0"/>
        <w:spacing w:before="0" w:after="0"/>
        <w:ind w:left="20" w:right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Приложение:</w:t>
      </w:r>
      <w:bookmarkEnd w:id="0"/>
    </w:p>
    <w:p>
      <w:pPr>
        <w:pStyle w:val="Style9"/>
        <w:numPr>
          <w:ilvl w:val="0"/>
          <w:numId w:val="3"/>
        </w:numPr>
        <w:tabs>
          <w:tab w:leader="none" w:pos="1345" w:val="left"/>
          <w:tab w:leader="none" w:pos="2207" w:val="left"/>
          <w:tab w:leader="none" w:pos="4943" w:val="center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Копия</w:t>
        <w:tab/>
        <w:t>Заявления</w:t>
        <w:tab/>
        <w:t>ООО НПК «Альфа» №134 от 06.09.2017г. (ЦА ФАС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России).</w:t>
      </w:r>
    </w:p>
    <w:p>
      <w:pPr>
        <w:pStyle w:val="Style9"/>
        <w:numPr>
          <w:ilvl w:val="0"/>
          <w:numId w:val="3"/>
        </w:numPr>
        <w:tabs>
          <w:tab w:leader="none" w:pos="1345" w:val="left"/>
          <w:tab w:leader="none" w:pos="2225" w:val="left"/>
          <w:tab w:leader="none" w:pos="4943" w:val="center"/>
          <w:tab w:leader="none" w:pos="7940" w:val="right"/>
          <w:tab w:leader="none" w:pos="9401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Копия</w:t>
        <w:tab/>
        <w:t>Заявления</w:t>
        <w:tab/>
        <w:t>ООО НПК «Альфа» №162 от</w:t>
        <w:tab/>
        <w:t>06.09.2017г.</w:t>
        <w:tab/>
        <w:t>(Прокуратура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Воронежской области).</w:t>
      </w:r>
    </w:p>
    <w:p>
      <w:pPr>
        <w:pStyle w:val="Style9"/>
        <w:numPr>
          <w:ilvl w:val="0"/>
          <w:numId w:val="3"/>
        </w:numPr>
        <w:tabs>
          <w:tab w:leader="none" w:pos="1345" w:val="left"/>
          <w:tab w:leader="none" w:pos="2222" w:val="left"/>
          <w:tab w:leader="none" w:pos="7940" w:val="right"/>
          <w:tab w:leader="none" w:pos="9401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Копия</w:t>
        <w:tab/>
        <w:t>приказа о назначении Панарина С.А.</w:t>
        <w:tab/>
        <w:t>директором</w:t>
        <w:tab/>
        <w:t>ООО «НПК</w:t>
      </w:r>
    </w:p>
    <w:p>
      <w:pPr>
        <w:pStyle w:val="Style9"/>
        <w:framePr w:h="212" w:wrap="around" w:vAnchor="text" w:hAnchor="margin" w:x="7982" w:y="1077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100" w:right="0" w:firstLine="0"/>
      </w:pPr>
      <w:r>
        <w:rPr>
          <w:rStyle w:val="CharStyle10"/>
          <w:spacing w:val="0"/>
        </w:rPr>
        <w:t>С.А. Панарин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771" w:line="27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«Альфа».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10" w:lineRule="exact"/>
        <w:ind w:left="20" w:right="0" w:firstLine="0"/>
        <w:sectPr>
          <w:footnotePr>
            <w:pos w:val="pageBottom"/>
            <w:numFmt w:val="decimal"/>
            <w:numStart w:val="1"/>
            <w:numRestart w:val="continuous"/>
          </w:footnotePr>
          <w:type w:val="continuous"/>
          <w:pgSz w:w="11906" w:h="16838"/>
          <w:pgMar w:top="1161" w:left="1179" w:right="1150" w:bottom="1157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Директор ООО «НПК «Альфа»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</w:pPr>
      <w:r>
        <w:rPr>
          <w:lang w:val="ru-RU" w:eastAsia="ru-RU" w:bidi="ru-RU"/>
          <w:vertAlign w:val="superscript"/>
          <w:w w:val="100"/>
          <w:color w:val="000000"/>
          <w:position w:val="0"/>
        </w:rPr>
        <w:t>5</w:t>
      </w:r>
      <w:r>
        <w:rPr>
          <w:lang w:val="ru-RU" w:eastAsia="ru-RU" w:bidi="ru-RU"/>
          <w:w w:val="100"/>
          <w:color w:val="000000"/>
          <w:position w:val="0"/>
        </w:rPr>
        <w:t xml:space="preserve"> Далее-КУВО «ЦОДУЗ».</w:t>
      </w:r>
    </w:p>
    <w:sectPr>
      <w:pgSz w:w="11906" w:h="16838"/>
      <w:pgMar w:top="1161" w:left="1179" w:right="1150" w:bottom="1157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>
        <w:separator/>
      </w:r>
    </w:p>
  </w:footnote>
  <w:footnote w:id="1" w:type="continuationSeparator">
    <w:p>
      <w:r>
        <w:continuationSeparator/>
      </w:r>
    </w:p>
  </w:footnote>
  <w:footnote w:id="2"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60" w:right="0" w:firstLine="0"/>
      </w:pPr>
      <w:r>
        <w:rPr>
          <w:lang w:val="ru-RU" w:eastAsia="ru-RU" w:bidi="ru-RU"/>
          <w:vertAlign w:val="superscript"/>
          <w:w w:val="100"/>
          <w:color w:val="000000"/>
          <w:position w:val="0"/>
        </w:rPr>
        <w:footnoteRef/>
      </w:r>
      <w:r>
        <w:rPr>
          <w:lang w:val="ru-RU" w:eastAsia="ru-RU" w:bidi="ru-RU"/>
          <w:w w:val="100"/>
          <w:color w:val="000000"/>
          <w:position w:val="0"/>
        </w:rPr>
        <w:t xml:space="preserve"> Далее-Уполномоченный орган.</w:t>
      </w:r>
    </w:p>
  </w:footnote>
  <w:footnote w:id="3"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60" w:right="4480" w:firstLine="0"/>
      </w:pPr>
      <w:r>
        <w:rPr>
          <w:lang w:val="ru-RU" w:eastAsia="ru-RU" w:bidi="ru-RU"/>
          <w:vertAlign w:val="superscript"/>
          <w:w w:val="100"/>
          <w:color w:val="000000"/>
          <w:position w:val="0"/>
        </w:rPr>
        <w:footnoteRef/>
      </w:r>
      <w:r>
        <w:rPr>
          <w:lang w:val="ru-RU" w:eastAsia="ru-RU" w:bidi="ru-RU"/>
          <w:w w:val="100"/>
          <w:color w:val="000000"/>
          <w:position w:val="0"/>
        </w:rPr>
        <w:t xml:space="preserve"> Далее-Описаиие объекта закупки, Техническое задание. </w:t>
      </w:r>
      <w:r>
        <w:rPr>
          <w:lang w:val="ru-RU" w:eastAsia="ru-RU" w:bidi="ru-RU"/>
          <w:vertAlign w:val="superscript"/>
          <w:w w:val="100"/>
          <w:color w:val="000000"/>
          <w:position w:val="0"/>
        </w:rPr>
        <w:t>1</w:t>
      </w:r>
      <w:r>
        <w:rPr>
          <w:lang w:val="ru-RU" w:eastAsia="ru-RU" w:bidi="ru-RU"/>
          <w:w w:val="100"/>
          <w:color w:val="000000"/>
          <w:position w:val="0"/>
        </w:rPr>
        <w:t xml:space="preserve"> Далее-Закон №44-ФЗ.</w:t>
      </w:r>
    </w:p>
  </w:footnote>
  <w:footnote w:id="4"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</w:pPr>
      <w:r>
        <w:rPr>
          <w:lang w:val="ru-RU" w:eastAsia="ru-RU" w:bidi="ru-RU"/>
          <w:vertAlign w:val="superscript"/>
          <w:w w:val="100"/>
          <w:color w:val="000000"/>
          <w:position w:val="0"/>
        </w:rPr>
        <w:footnoteRef/>
      </w:r>
      <w:r>
        <w:rPr>
          <w:lang w:val="ru-RU" w:eastAsia="ru-RU" w:bidi="ru-RU"/>
          <w:w w:val="100"/>
          <w:color w:val="000000"/>
          <w:position w:val="0"/>
        </w:rPr>
        <w:t xml:space="preserve"> Далее-Департамеит.</w:t>
      </w:r>
    </w:p>
  </w:footnote>
  <w:footnote w:id="5"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</w:pPr>
      <w:r>
        <w:rPr>
          <w:lang w:val="ru-RU" w:eastAsia="ru-RU" w:bidi="ru-RU"/>
          <w:vertAlign w:val="superscript"/>
          <w:w w:val="100"/>
          <w:color w:val="000000"/>
          <w:position w:val="0"/>
        </w:rPr>
        <w:footnoteRef/>
      </w:r>
      <w:r>
        <w:rPr>
          <w:lang w:val="ru-RU" w:eastAsia="ru-RU" w:bidi="ru-RU"/>
          <w:w w:val="100"/>
          <w:color w:val="000000"/>
          <w:position w:val="0"/>
        </w:rPr>
        <w:t xml:space="preserve"> Далее - Программа.</w:t>
      </w:r>
    </w:p>
  </w:footnote>
  <w:footnote w:id="6"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190" w:lineRule="exact"/>
        <w:ind w:left="20" w:right="0" w:firstLine="0"/>
      </w:pPr>
      <w:r>
        <w:rPr>
          <w:lang w:val="ru-RU" w:eastAsia="ru-RU" w:bidi="ru-RU"/>
          <w:vertAlign w:val="superscript"/>
          <w:w w:val="100"/>
          <w:color w:val="000000"/>
          <w:position w:val="0"/>
        </w:rPr>
        <w:footnoteRef/>
      </w:r>
      <w:r>
        <w:rPr>
          <w:lang w:val="ru-RU" w:eastAsia="ru-RU" w:bidi="ru-RU"/>
          <w:w w:val="100"/>
          <w:color w:val="000000"/>
          <w:position w:val="0"/>
        </w:rPr>
        <w:t xml:space="preserve"> Далее-Закон № 135-ФЗ.</w:t>
      </w:r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1"/>
        <w:szCs w:val="21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1"/>
        <w:szCs w:val="21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Start w:val="1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Сноска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  <w:spacing w:val="10"/>
    </w:rPr>
  </w:style>
  <w:style w:type="character" w:customStyle="1" w:styleId="CharStyle6">
    <w:name w:val="Основной текст (3) Exact"/>
    <w:basedOn w:val="DefaultParagraphFont"/>
    <w:link w:val="Style5"/>
    <w:rPr>
      <w:b w:val="0"/>
      <w:bCs w:val="0"/>
      <w:i/>
      <w:iCs/>
      <w:u w:val="none"/>
      <w:strike w:val="0"/>
      <w:smallCaps w:val="0"/>
      <w:sz w:val="26"/>
      <w:szCs w:val="26"/>
      <w:rFonts w:ascii="Constantia" w:eastAsia="Constantia" w:hAnsi="Constantia" w:cs="Constantia"/>
      <w:spacing w:val="-52"/>
    </w:rPr>
  </w:style>
  <w:style w:type="character" w:customStyle="1" w:styleId="CharStyle7">
    <w:name w:val="Основной текст (3) Exact"/>
    <w:basedOn w:val="CharStyle6"/>
    <w:rPr>
      <w:lang w:val="ru-RU" w:eastAsia="ru-RU" w:bidi="ru-RU"/>
      <w:w w:val="100"/>
      <w:color w:val="000000"/>
      <w:position w:val="0"/>
    </w:rPr>
  </w:style>
  <w:style w:type="character" w:customStyle="1" w:styleId="CharStyle8">
    <w:name w:val="Основной текст (3) + Impact,29 pt,Интервал 0 pt Exact"/>
    <w:basedOn w:val="CharStyle6"/>
    <w:rPr>
      <w:lang w:val="ru-RU" w:eastAsia="ru-RU" w:bidi="ru-RU"/>
      <w:sz w:val="58"/>
      <w:szCs w:val="58"/>
      <w:rFonts w:ascii="Impact" w:eastAsia="Impact" w:hAnsi="Impact" w:cs="Impact"/>
      <w:w w:val="100"/>
      <w:spacing w:val="0"/>
      <w:color w:val="000000"/>
      <w:position w:val="0"/>
    </w:rPr>
  </w:style>
  <w:style w:type="character" w:customStyle="1" w:styleId="CharStyle10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  <w:spacing w:val="10"/>
    </w:rPr>
  </w:style>
  <w:style w:type="character" w:customStyle="1" w:styleId="CharStyle12">
    <w:name w:val="Основной текст (2)_"/>
    <w:basedOn w:val="DefaultParagraphFont"/>
    <w:link w:val="Style11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13">
    <w:name w:val="Основной текст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14">
    <w:name w:val="Основной текст"/>
    <w:basedOn w:val="CharStyle13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6">
    <w:name w:val="Подпись к таблице_"/>
    <w:basedOn w:val="DefaultParagraphFont"/>
    <w:link w:val="Style15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17">
    <w:name w:val="Подпись к таблице"/>
    <w:basedOn w:val="CharStyle16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8">
    <w:name w:val="Основной текст"/>
    <w:basedOn w:val="CharStyle13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9">
    <w:name w:val="Основной текст + Полужирный"/>
    <w:basedOn w:val="CharStyle13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20">
    <w:name w:val="Основной текст (2) + Не полужирный"/>
    <w:basedOn w:val="CharStyle12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21">
    <w:name w:val="Основной текст + 9,5 pt,Интервал 0 pt"/>
    <w:basedOn w:val="CharStyle13"/>
    <w:rPr>
      <w:lang w:val="ru-RU" w:eastAsia="ru-RU" w:bidi="ru-RU"/>
      <w:sz w:val="19"/>
      <w:szCs w:val="19"/>
      <w:w w:val="100"/>
      <w:spacing w:val="10"/>
      <w:color w:val="000000"/>
      <w:position w:val="0"/>
    </w:rPr>
  </w:style>
  <w:style w:type="character" w:customStyle="1" w:styleId="CharStyle22">
    <w:name w:val="Основной текст + Полужирный"/>
    <w:basedOn w:val="CharStyle13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24">
    <w:name w:val="Заголовок №1_"/>
    <w:basedOn w:val="DefaultParagraphFont"/>
    <w:link w:val="Style23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3">
    <w:name w:val="Сноска"/>
    <w:basedOn w:val="Normal"/>
    <w:link w:val="CharStyle4"/>
    <w:pPr>
      <w:widowControl w:val="0"/>
      <w:shd w:val="clear" w:color="auto" w:fill="FFFFFF"/>
      <w:spacing w:line="223" w:lineRule="exact"/>
    </w:pPr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  <w:spacing w:val="10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FFFFFF"/>
      <w:spacing w:line="0" w:lineRule="exact"/>
    </w:pPr>
    <w:rPr>
      <w:b w:val="0"/>
      <w:bCs w:val="0"/>
      <w:i/>
      <w:iCs/>
      <w:u w:val="none"/>
      <w:strike w:val="0"/>
      <w:smallCaps w:val="0"/>
      <w:sz w:val="26"/>
      <w:szCs w:val="26"/>
      <w:rFonts w:ascii="Constantia" w:eastAsia="Constantia" w:hAnsi="Constantia" w:cs="Constantia"/>
      <w:spacing w:val="-52"/>
    </w:rPr>
  </w:style>
  <w:style w:type="paragraph" w:customStyle="1" w:styleId="Style9">
    <w:name w:val="Основной текст"/>
    <w:basedOn w:val="Normal"/>
    <w:link w:val="CharStyle13"/>
    <w:pPr>
      <w:widowControl w:val="0"/>
      <w:shd w:val="clear" w:color="auto" w:fill="FFFFFF"/>
      <w:spacing w:after="240" w:line="277" w:lineRule="exact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11">
    <w:name w:val="Основной текст (2)"/>
    <w:basedOn w:val="Normal"/>
    <w:link w:val="CharStyle12"/>
    <w:pPr>
      <w:widowControl w:val="0"/>
      <w:shd w:val="clear" w:color="auto" w:fill="FFFFFF"/>
      <w:spacing w:line="277" w:lineRule="exact"/>
    </w:pPr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15">
    <w:name w:val="Подпись к таблице"/>
    <w:basedOn w:val="Normal"/>
    <w:link w:val="CharStyle16"/>
    <w:pPr>
      <w:widowControl w:val="0"/>
      <w:shd w:val="clear" w:color="auto" w:fill="FFFFFF"/>
      <w:jc w:val="both"/>
      <w:spacing w:line="270" w:lineRule="exact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23">
    <w:name w:val="Заголовок №1"/>
    <w:basedOn w:val="Normal"/>
    <w:link w:val="CharStyle24"/>
    <w:pPr>
      <w:widowControl w:val="0"/>
      <w:shd w:val="clear" w:color="auto" w:fill="FFFFFF"/>
      <w:jc w:val="both"/>
      <w:outlineLvl w:val="0"/>
      <w:spacing w:before="240" w:line="274" w:lineRule="exact"/>
      <w:ind w:firstLine="700"/>
    </w:pPr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