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tabs>
          <w:tab w:leader="none" w:pos="3852" w:val="right"/>
          <w:tab w:leader="none" w:pos="3997" w:val="lef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20" w:right="3360" w:firstLine="3440"/>
      </w:pPr>
      <w:r>
        <w:rPr>
          <w:rStyle w:val="CharStyle5"/>
        </w:rPr>
        <w:t xml:space="preserve">^РЕШЕНИЕ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 возвращении жалобы -</w:t>
        <w:tab/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;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ab/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>i</w:t>
      </w:r>
    </w:p>
    <w:p>
      <w:pPr>
        <w:pStyle w:val="Style3"/>
        <w:tabs>
          <w:tab w:leader="none" w:pos="3433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по контролю в сфере закупок товаров, работ, услуг для обеспечения государственных и муниципальных нужд Краснодарского УФАС России рассмотрела Вашу жалобу от 01.11.2017 на действия заказчика - администрации Нижнебаканского сельского поселения Крымского района при проведении электронного аукциона:</w:t>
        <w:tab/>
        <w:t>«Ремонт автомобильных дорог» (извещение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№0318300049917000138) и сообщает следующее.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36" w:lineRule="exact"/>
        <w:ind w:left="20" w:right="2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п.1 4.11 ст.105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жалоба возвращается подавшему ее лицу без рассмотрения в случае, если жалоба не соответствует требованиям, установленным настоящей статьей.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Согласно ч.4 ст. 105 Закона о контрактной системе обжалование действий (бездействия) 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должностного лица контрактной службы, контрактного управляющего, оператора электронной площадки в случае, если данные действия (бездействие) совершены при ; определении поставщика (подрядчика, исполнителя) путем электронного аукциона, осуществляется в порядке, установленном настоящей главой, в любое время определения поставщика (подрядчика, исполнителя), а также в период аккредитации на электронной площадке, но не позднее чем через десять дней с даты размещения на электронной площадке протокола подведения результатов такого аукциона либо протокола рассмотрения заявок на участие в таком аукционе или протокола проведения такого аукциона в случае признания такого аукциона несостоявшимся. </w:t>
      </w:r>
      <w:r>
        <w:rPr>
          <w:rStyle w:val="CharStyle6"/>
        </w:rPr>
        <w:t>Жалоба на положения документации о таком аукционе может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rStyle w:val="CharStyle6"/>
        </w:rPr>
        <w:t>быть подана участником закупки до окончания срока подачи заявок на участие в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rStyle w:val="CharStyle6"/>
        </w:rPr>
        <w:t>таком аукционе.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При этом в случае, если обжалуемые действия (бездействие) совершены после начала рассмотрения заявок на участие в таком аукционе, обжалование данных действий (бездействия) может осуществляться только участником закупки, подавшим заявку на участие в таком аукционе. В случае если обжщтуемые действия (бездействие) совершены при рассмотрении вторых частей заявок на участие в электронном аукционе или при заключении контракта, обжалование данных действий (бездействия) осуществляется до заключения контракта. </w:t>
      </w:r>
      <w:r>
        <w:rPr>
          <w:rStyle w:val="CharStyle6"/>
        </w:rPr>
        <w:t>По истечении указанных сроков обжалование данных действий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rStyle w:val="CharStyle6"/>
        </w:rPr>
        <w:t>(бездействия! заказчика, уполномоченного органа, уполномоченного учреждения,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rStyle w:val="CharStyle6"/>
        </w:rPr>
        <w:t>специализированной организации, оператора электронной площадки, аукционной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rStyle w:val="CharStyle6"/>
        </w:rPr>
        <w:t>комиссии осуществляется только в судебном порядке.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4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извещению о проведении электронного аукциона №0318300049917000138, дата и время окончания подачи заявок на участие в электронном аукционе 01.11.2017 -■ 05:00. Жалоба ООО «ВертикальМС» от 01.11.2017 на документацию поступила в Краснодарское УФАС России 01.11.2017-08:49, т.е. с нарушением сроков, установленных Законом о контрактной системе.</w:t>
      </w:r>
      <w:r>
        <w:br w:type="page"/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1290" w:left="1278" w:right="1278" w:bottom="1285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5">
    <w:name w:val="Основной текст"/>
    <w:basedOn w:val="CharStyle4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6">
    <w:name w:val="Основной текст"/>
    <w:basedOn w:val="CharStyle4"/>
    <w:rPr>
      <w:lang w:val="ru-RU" w:eastAsia="ru-RU" w:bidi="ru-RU"/>
      <w:u w:val="single"/>
      <w:sz w:val="24"/>
      <w:szCs w:val="24"/>
      <w:w w:val="100"/>
      <w:spacing w:val="0"/>
      <w:color w:val="000000"/>
      <w:position w:val="0"/>
    </w:rPr>
  </w:style>
  <w:style w:type="paragraph" w:customStyle="1" w:styleId="Style3">
    <w:name w:val="Основной текст"/>
    <w:basedOn w:val="Normal"/>
    <w:link w:val="CharStyle4"/>
    <w:pPr>
      <w:widowControl w:val="0"/>
      <w:shd w:val="clear" w:color="auto" w:fill="FFFFFF"/>
      <w:spacing w:line="293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