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1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1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ЗАО "Сбербанк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ACT"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98"/>
        <w:ind w:left="1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119435, г. Москва, Большой Саввинский переулок, д. 12, стр.9</w:t>
      </w:r>
    </w:p>
    <w:p>
      <w:pPr>
        <w:pStyle w:val="Style3"/>
        <w:framePr w:w="4093" w:h="3424" w:wrap="around" w:vAnchor="text" w:hAnchor="margin" w:x="473" w:y="101"/>
        <w:widowControl w:val="0"/>
        <w:keepNext w:val="0"/>
        <w:keepLines w:val="0"/>
        <w:shd w:val="clear" w:color="auto" w:fill="auto"/>
        <w:bidi w:val="0"/>
        <w:jc w:val="center"/>
        <w:spacing w:before="0" w:after="84" w:line="270" w:lineRule="exact"/>
        <w:ind w:left="4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5"/>
        <w:framePr w:w="4093" w:h="3424" w:wrap="around" w:vAnchor="text" w:hAnchor="margin" w:x="473" w:y="101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3"/>
        <w:framePr w:w="4093" w:h="3424" w:wrap="around" w:vAnchor="text" w:hAnchor="margin" w:x="473" w:y="101"/>
        <w:widowControl w:val="0"/>
        <w:keepNext w:val="0"/>
        <w:keepLines w:val="0"/>
        <w:shd w:val="clear" w:color="auto" w:fill="auto"/>
        <w:bidi w:val="0"/>
        <w:jc w:val="center"/>
        <w:spacing w:before="0" w:after="98"/>
        <w:ind w:left="40" w:right="0" w:firstLine="0"/>
      </w:pPr>
      <w:r>
        <w:rPr>
          <w:rStyle w:val="CharStyle4"/>
          <w:b/>
          <w:bCs/>
          <w:spacing w:val="0"/>
        </w:rPr>
        <w:t>Федеральной антимонопольной службы по Ханты-Мансийскому автономному округу - Югре</w:t>
      </w:r>
    </w:p>
    <w:p>
      <w:pPr>
        <w:pStyle w:val="Style7"/>
        <w:framePr w:w="4093" w:h="3424" w:wrap="around" w:vAnchor="text" w:hAnchor="margin" w:x="473" w:y="101"/>
        <w:widowControl w:val="0"/>
        <w:keepNext w:val="0"/>
        <w:keepLines w:val="0"/>
        <w:shd w:val="clear" w:color="auto" w:fill="auto"/>
        <w:bidi w:val="0"/>
        <w:spacing w:before="0" w:after="20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Мира, 27, г. Ханты-Мансийск, 628002 тел. (3467) 38-80-81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9"/>
          <w:spacing w:val="0"/>
        </w:rPr>
        <w:t>to86(fl'fas. tzov.ru</w:t>
      </w:r>
    </w:p>
    <w:p>
      <w:pPr>
        <w:pStyle w:val="Style10"/>
        <w:framePr w:w="4093" w:h="3424" w:wrap="around" w:vAnchor="text" w:hAnchor="margin" w:x="473" w:y="101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12"/>
          <w:spacing w:val="0"/>
        </w:rPr>
        <w:t xml:space="preserve">/4 . </w:t>
      </w:r>
      <w:r>
        <w:rPr>
          <w:rStyle w:val="CharStyle13"/>
          <w:spacing w:val="-40"/>
        </w:rPr>
        <w:t>Л/</w:t>
      </w:r>
      <w:r>
        <w:rPr>
          <w:rStyle w:val="CharStyle12"/>
          <w:spacing w:val="0"/>
        </w:rPr>
        <w:t xml:space="preserve"> </w:t>
      </w:r>
      <w:r>
        <w:rPr>
          <w:rStyle w:val="CharStyle14"/>
          <w:spacing w:val="0"/>
        </w:rPr>
        <w:t>2017</w:t>
      </w:r>
      <w:r>
        <w:rPr>
          <w:rStyle w:val="CharStyle11"/>
          <w:spacing w:val="0"/>
        </w:rPr>
        <w:t xml:space="preserve"> № </w:t>
      </w:r>
      <w:r>
        <w:rPr>
          <w:rStyle w:val="CharStyle14"/>
          <w:spacing w:val="0"/>
        </w:rPr>
        <w:t>03/ПА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«стм»</w:t>
      </w:r>
      <w:bookmarkEnd w:id="0"/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6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620072, Свердловская обл., г. Екатеринбург, ул. Бетонщиков, д. 5, оф. 204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Департамент жилищно-коммунального и строительного комплекса администрации города Югорска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57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628260, Ханты-Мансийский автономный округ- Югра, г.Югорск, ул.Механизаторов, 22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98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города Югорска 628260, Ханты-Мансийский автономный округ- Югра, г.Югорск, ул.40 лет Победы, 11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58" w:line="230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10"/>
        <w:tabs>
          <w:tab w:leader="none" w:pos="947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объявлена 09.11.2017</w:t>
        <w:tab/>
        <w:t>г.Ханты-Мансийск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4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Изготовлено в полном объеме 10.11.2017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20" w:right="3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Ханты- Мансийскому автономному округу - Югре (далее - Комиссия Управления) по контролю в сфере закупок (размещения заказов) товаров, работ, услуг для обеспечения государственных и муниципальных нужд в составе: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комиссии: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Демкин А.В. - Руководитель Управления;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Плеханов А.Н. - Начальник отдела Управления;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37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Базанов М.Е. - Ведущий специалист-эксперт отдела Управления.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Заявителя - не явились, уведомлены надлежащим образом;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Заказчика - не явились, уведомлены надлежащим образом;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center"/>
        <w:spacing w:before="0" w:after="243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Уполномоченного органа - Абдуллаева О.С. по доверенности от 27.02.2017;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75" w:line="274" w:lineRule="exact"/>
        <w:ind w:left="20" w:right="3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жалобу ООО «СТМ» (далее - Заявитель) от 01.11.2017 №1706-ж на действия аукционной комиссии Заказчика - Департамент жилищно-коммунального и строительного комплекса администрации города Югорска, Уполномоченного органа - Администрация города Югорска при проведении электронного аукциона, предметом которого является поставка компьютерного и электронного оборудования на объект: "Физкультурно-спортивный комплекс с универсальным игровым залом в городе Югорске" (извещение №0187300005817000357) и в результате осуществления внеплановой проверки в соответствии с пунктом 1 части 15 статьи 99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r>
        <w:br w:type="page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Ханты-Мансийскому автономному округу - Югре поступила жалоба Заявителя на действия аукционной комиссии Заказчика, Уполномоченного органа при проведении электронного аукциона.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Заявитель считает, что согласно ч. 1 ст. 69 Закона о контрактной системе,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r>
        <w:rPr>
          <w:rStyle w:val="CharStyle19"/>
        </w:rPr>
        <w:t>частью 19 статьи 68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рассмотрения вторых частей заявок на участие в электронном аукционе, аукционная комиссия принимается решение о соответствии или о несоответствии заявки на участие в таком аукционе требованиям, установленным документацией о таком аукционе (ч.2 ст. 69 Закона о контрактной системе).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 как в составе заявки участника ООО «СТМ» под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не представлено требуемого документа, не представлена вышеуказанная декларация, следовательно, данная заявка в соответствии с пп. 6 ч.5 ст. 66, </w:t>
      </w:r>
      <w:r>
        <w:rPr>
          <w:rStyle w:val="CharStyle19"/>
        </w:rPr>
        <w:t>п. 1 ч. 6 сг. 69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Закона о контрактной системе полежит отклонению.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у аукционной комиссии не имелось законных оснований для принятия решения о соответствии вторых частей заявки на участие в таком аукционе требованиям, установленным документацией о таком аукционе, а также требованиям Закона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Следавательно, участник ООО «СТМ» не может являться победителем аукциона.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доводов Заявителя Комиссией Управления установлено следующее.</w:t>
      </w:r>
    </w:p>
    <w:p>
      <w:pPr>
        <w:pStyle w:val="Style10"/>
        <w:numPr>
          <w:ilvl w:val="0"/>
          <w:numId w:val="3"/>
        </w:numPr>
        <w:tabs>
          <w:tab w:leader="none" w:pos="1031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 Конкурентными способами определения поставщиков (подрядчиков, исполнителей)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 (далее также - электронный аукцион), закрытый аукцион), запрос котировок, запрос предложений.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59 Закона о контрактной системе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и аукционная документация о проведении электронного аукциона, предметом которого является поставка компьютерного и электронного оборудования на объект: "Физкультурно-спортивный комплекс с универсальным игровым залом в городе Югорске" (извещение №0187300005817000357) размещены на официальном сайте единой информационной системы 10.10.2017.</w:t>
      </w:r>
    </w:p>
    <w:p>
      <w:pPr>
        <w:pStyle w:val="Style10"/>
        <w:tabs>
          <w:tab w:leader="none" w:pos="9686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п.39 Части 1 «Сведения о проводимом аукционе в электронной форме» документации об аукционе в качестве условий, запретов и ограничений допуска товаров, происходящих из иностранного государства или группы иностранных государств, работ и услуг), соответственно выполняемых и оказываемых иностранными лицами, установленных в документации об аукционе в соответствии со статьей 12 Закона о контрактной системе установлены установлены следующие требования:</w:t>
        <w:tab/>
        <w:t>Приказ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Министерства экономического развития РФ от 25 марта 2014 г. № 155 "Об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нужд" и Постановление Правительства РФ от 26.09.2016 № 968 "Об ограничениях и условиях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допуска отдельных видов радиоэлектронной продукции, происходящих из иностранных государств, для целей осуществления закупок для обеспечения государственных и муниципальных нужд"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320" w:firstLine="10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содержанию и составу заявки на участие в электронном аукционе установлены п.23 Части 1 «Сведения о проводимом аукционе в электронной форме», одним из требуемых документов является декларация в соответствии с Приказом Министерства экономического развития РФ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нужд" страны происхождения поставляемого товара, а также копия одного из следующих документов для подтверждения признания отдельных видов радиоэлектронной продукции продукцией, произведенной на территории Российской Федерации: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а) специальный инвестиционный контракт в случае, установленном </w:t>
      </w:r>
      <w:r>
        <w:rPr>
          <w:rStyle w:val="CharStyle19"/>
        </w:rPr>
        <w:t>подпунктом "а"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пункта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постановления Правительства РФ от 26.09.2016 г. № 968;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б) подтверждение Министерством промышленности и торговли Российской Федерации производства на территории Российской Федерации предложенных в заявке (окончательном предложении) отдельных видов радиоэлектронной продукции, в случае, установленном </w:t>
      </w:r>
      <w:r>
        <w:rPr>
          <w:rStyle w:val="CharStyle19"/>
        </w:rPr>
        <w:t>подпунктом "б" пункта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Правительства РФ от 26.09.2016 г. № 968;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в) выданное Министерством промышленности и торговли Российской Федерации уведомление о присвоении статуса телекоммуникационного оборудования российского происхождения и выданное Министерством промышленности и торговли Российской Федерации уведомление о подтверждении статуса телекоммуникационного оборудования российского происхождения (при наличии) в случае, установленном </w:t>
      </w:r>
      <w:r>
        <w:rPr>
          <w:rStyle w:val="CharStyle19"/>
        </w:rPr>
        <w:t>подпунктом "в" пункта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6 Правительства РФ от 26.09.2016 г. № 968;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г) сертификат СТ-1 на предложенные в заявке (окончательном предложении) отдельные виды радиоэлектронной продукции в случае, установленном </w:t>
      </w:r>
      <w:r>
        <w:rPr>
          <w:rStyle w:val="CharStyle19"/>
        </w:rPr>
        <w:t>подпунктом "г"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пункта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Правительства РФ от 26.09.2016 г. № 968.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аукцион в электронной форме среди субъектов малого предпринимательства и социально ориентированных некоммерческих организаций на право заключения муниципального контракта на поставку компьютерного и электронного оборудования на объект: «Физкультурно-спортивный комплекс с универсальным игровым залом в городе Югорске» поступили 2 заявки. Комиссия рассмотрела первые части заявок и приняла решение о допуске двух заявок</w:t>
      </w:r>
    </w:p>
    <w:p>
      <w:pPr>
        <w:pStyle w:val="Style10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года состоялся аукцион в электронной форме, в котором приняли участие оба участника аукциона.</w:t>
      </w:r>
    </w:p>
    <w:p>
      <w:pPr>
        <w:pStyle w:val="Style10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единой комиссией по осуществлению закупок для обеспечения муниципальных нужд города Югорска были рассмотрены вторые части заявок участников аукциона. В результате рассмотрения вторых частей заявок принято решение о соответствии следующих заявок на участие в аукционе требованиям, установленным документацией об аукционе в электронной форме: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Общество с ограниченной ответственностью «СТМ»;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Общество с ограниченной ответственностью «Инфокоммуникации».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300" w:right="4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подателя жалобы о необходимости признания его заявки несоответствующей требованиям документации об аукционе в связи с отсутствием в составе второй части его заявки декларации страны происхождения товара Комиссия Управления считает несостоятельным по следующим основаниям: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300" w:right="420" w:firstLine="1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Первая часть заявки победителя аукциона содержит декларацию страны происхождения товара:</w:t>
      </w:r>
    </w:p>
    <w:p>
      <w:pPr>
        <w:pStyle w:val="Style20"/>
        <w:framePr w:w="10278" w:wrap="notBeside" w:vAnchor="text" w:hAnchor="text" w:xAlign="center" w:y="1"/>
        <w:tabs>
          <w:tab w:leader="underscore" w:pos="6023" w:val="left"/>
          <w:tab w:leader="underscore" w:pos="6818" w:val="left"/>
          <w:tab w:leader="underscore" w:pos="8107" w:val="left"/>
          <w:tab w:leader="underscore" w:pos="971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«Функциональные, технические, качественные, эксплуатационные характеристики объекта закупки (показатели, позволяющие определить соответствие закупаемого </w:t>
      </w:r>
      <w:r>
        <w:rPr>
          <w:rStyle w:val="CharStyle22"/>
          <w:b/>
          <w:bCs/>
        </w:rPr>
        <w:t>товара установленным заказчиком требованиям):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ab/>
        <w:tab/>
        <w:tab/>
      </w:r>
    </w:p>
    <w:tbl>
      <w:tblPr>
        <w:tblOverlap w:val="never"/>
        <w:tblLayout w:type="fixed"/>
        <w:jc w:val="center"/>
      </w:tblPr>
      <w:tblGrid>
        <w:gridCol w:w="580"/>
        <w:gridCol w:w="2282"/>
        <w:gridCol w:w="4266"/>
        <w:gridCol w:w="1289"/>
        <w:gridCol w:w="1861"/>
      </w:tblGrid>
      <w:tr>
        <w:trPr>
          <w:trHeight w:val="29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240" w:right="0" w:firstLine="0"/>
            </w:pPr>
            <w:r>
              <w:rPr>
                <w:rStyle w:val="CharStyle23"/>
              </w:rPr>
              <w:t>Наименование товара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Характеристика товара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Ед. изм.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Кол-во</w:t>
            </w:r>
          </w:p>
        </w:tc>
      </w:tr>
      <w:tr>
        <w:trPr>
          <w:trHeight w:val="20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2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поставляемых</w:t>
            </w:r>
          </w:p>
        </w:tc>
      </w:tr>
      <w:tr>
        <w:trPr>
          <w:trHeight w:val="252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2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2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2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2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bottom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товаров</w:t>
            </w: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587"/>
        <w:gridCol w:w="2282"/>
        <w:gridCol w:w="4262"/>
        <w:gridCol w:w="1282"/>
        <w:gridCol w:w="1865"/>
      </w:tblGrid>
      <w:tr>
        <w:trPr>
          <w:trHeight w:val="324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40" w:right="0" w:firstLine="0"/>
            </w:pPr>
            <w:r>
              <w:rPr>
                <w:rStyle w:val="CharStyle23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300" w:line="170" w:lineRule="exact"/>
              <w:ind w:left="0" w:right="0" w:firstLine="0"/>
            </w:pPr>
            <w:r>
              <w:rPr>
                <w:rStyle w:val="CharStyle23"/>
              </w:rPr>
              <w:t xml:space="preserve">ЖК- Монитор </w:t>
            </w:r>
            <w:r>
              <w:rPr>
                <w:rStyle w:val="CharStyle23"/>
                <w:lang w:val="en-US" w:eastAsia="en-US" w:bidi="en-US"/>
              </w:rPr>
              <w:t>Philips</w:t>
            </w:r>
          </w:p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300" w:after="0" w:line="227" w:lineRule="exact"/>
              <w:ind w:left="460" w:right="0" w:firstLine="360"/>
            </w:pPr>
            <w:r>
              <w:rPr>
                <w:rStyle w:val="CharStyle24"/>
              </w:rPr>
              <w:t xml:space="preserve">Страна происхождения товара </w:t>
            </w:r>
            <w:r>
              <w:rPr>
                <w:rStyle w:val="CharStyle23"/>
              </w:rPr>
              <w:t xml:space="preserve">- </w:t>
            </w:r>
            <w:r>
              <w:rPr>
                <w:rStyle w:val="CharStyle24"/>
              </w:rPr>
              <w:t>Китай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hanging="120"/>
            </w:pPr>
            <w:r>
              <w:rPr>
                <w:rStyle w:val="CharStyle23"/>
              </w:rPr>
              <w:t xml:space="preserve">|ЖК- Монитор с характеристиками: размер диагонали 23,8 дюйм. Тип дисплея </w:t>
            </w:r>
            <w:r>
              <w:rPr>
                <w:rStyle w:val="CharStyle23"/>
                <w:lang w:val="en-US" w:eastAsia="en-US" w:bidi="en-US"/>
              </w:rPr>
              <w:t xml:space="preserve">IPS </w:t>
            </w:r>
            <w:r>
              <w:rPr>
                <w:rStyle w:val="CharStyle23"/>
              </w:rPr>
              <w:t xml:space="preserve">с </w:t>
            </w:r>
            <w:r>
              <w:rPr>
                <w:rStyle w:val="CharStyle23"/>
                <w:lang w:val="en-US" w:eastAsia="en-US" w:bidi="en-US"/>
              </w:rPr>
              <w:t>LED</w:t>
            </w:r>
            <w:r>
              <w:rPr>
                <w:rStyle w:val="CharStyle23"/>
              </w:rPr>
              <w:t xml:space="preserve">- подсветкой. Тип матрицы экрана </w:t>
            </w:r>
            <w:r>
              <w:rPr>
                <w:rStyle w:val="CharStyle23"/>
                <w:lang w:val="en-US" w:eastAsia="en-US" w:bidi="en-US"/>
              </w:rPr>
              <w:t>TFTTN.</w:t>
            </w:r>
          </w:p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hanging="120"/>
            </w:pPr>
            <w:r>
              <w:rPr>
                <w:rStyle w:val="CharStyle23"/>
              </w:rPr>
              <w:t xml:space="preserve">Разрешение экрана </w:t>
            </w:r>
            <w:r>
              <w:rPr>
                <w:rStyle w:val="CharStyle23"/>
                <w:lang w:val="en-US" w:eastAsia="en-US" w:bidi="en-US"/>
              </w:rPr>
              <w:t xml:space="preserve">1920x1080 </w:t>
            </w:r>
            <w:r>
              <w:rPr>
                <w:rStyle w:val="CharStyle23"/>
              </w:rPr>
              <w:t>точек, формат экрана (16:9)</w:t>
            </w:r>
          </w:p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hanging="120"/>
            </w:pPr>
            <w:r>
              <w:rPr>
                <w:rStyle w:val="CharStyle23"/>
              </w:rPr>
              <w:t xml:space="preserve">Подключение: </w:t>
            </w:r>
            <w:r>
              <w:rPr>
                <w:rStyle w:val="CharStyle23"/>
                <w:lang w:val="en-US" w:eastAsia="en-US" w:bidi="en-US"/>
              </w:rPr>
              <w:t>VGA, DVI</w:t>
            </w:r>
          </w:p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hanging="120"/>
            </w:pPr>
            <w:r>
              <w:rPr>
                <w:rStyle w:val="CharStyle23"/>
              </w:rPr>
              <w:t>Яркость 250 кд/м2</w:t>
            </w:r>
          </w:p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hanging="120"/>
            </w:pPr>
            <w:r>
              <w:rPr>
                <w:rStyle w:val="CharStyle23"/>
              </w:rPr>
              <w:t>Время отклика 5 мс. Угол обзора 178° по горизонтали, 178° по вертикали. Масса 4,1 кг. наличие встроенных колонок;</w:t>
            </w:r>
          </w:p>
          <w:p>
            <w:pPr>
              <w:pStyle w:val="Style10"/>
              <w:numPr>
                <w:ilvl w:val="0"/>
                <w:numId w:val="9"/>
              </w:numPr>
              <w:framePr w:w="10278" w:wrap="notBeside" w:vAnchor="text" w:hAnchor="text" w:xAlign="center" w:y="1"/>
              <w:tabs>
                <w:tab w:leader="none" w:pos="-5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hanging="120"/>
            </w:pPr>
            <w:r>
              <w:rPr>
                <w:rStyle w:val="CharStyle23"/>
              </w:rPr>
              <w:t>блок питания встроенный;</w:t>
            </w:r>
          </w:p>
          <w:p>
            <w:pPr>
              <w:pStyle w:val="Style10"/>
              <w:numPr>
                <w:ilvl w:val="0"/>
                <w:numId w:val="9"/>
              </w:numPr>
              <w:framePr w:w="10278" w:wrap="notBeside" w:vAnchor="text" w:hAnchor="text" w:xAlign="center" w:y="1"/>
              <w:tabs>
                <w:tab w:leader="none" w:pos="2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hanging="120"/>
            </w:pPr>
            <w:r>
              <w:rPr>
                <w:rStyle w:val="CharStyle23"/>
              </w:rPr>
              <w:t>потребление энергии 19 Вт;</w:t>
            </w:r>
          </w:p>
          <w:p>
            <w:pPr>
              <w:pStyle w:val="Style10"/>
              <w:numPr>
                <w:ilvl w:val="0"/>
                <w:numId w:val="9"/>
              </w:numPr>
              <w:framePr w:w="10278" w:wrap="notBeside" w:vAnchor="text" w:hAnchor="text" w:xAlign="center" w:y="1"/>
              <w:tabs>
                <w:tab w:leader="none" w:pos="82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hanging="120"/>
            </w:pPr>
            <w:r>
              <w:rPr>
                <w:rStyle w:val="CharStyle23"/>
              </w:rPr>
              <w:t>класс энергетической эффективности класс «А».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52</w:t>
            </w:r>
          </w:p>
        </w:tc>
      </w:tr>
      <w:tr>
        <w:trPr>
          <w:trHeight w:val="852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40" w:right="0" w:firstLine="0"/>
            </w:pPr>
            <w:r>
              <w:rPr>
                <w:rStyle w:val="CharStyle23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227" w:lineRule="exact"/>
              <w:ind w:left="0" w:right="0" w:firstLine="0"/>
            </w:pPr>
            <w:r>
              <w:rPr>
                <w:rStyle w:val="CharStyle23"/>
              </w:rPr>
              <w:t>Системный блок ПЭВМ «КИТ»</w:t>
            </w:r>
          </w:p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80" w:after="0" w:line="227" w:lineRule="exact"/>
              <w:ind w:left="460" w:right="0" w:firstLine="360"/>
            </w:pPr>
            <w:r>
              <w:rPr>
                <w:rStyle w:val="CharStyle24"/>
              </w:rPr>
              <w:t xml:space="preserve">Страна происхождения товара </w:t>
            </w:r>
            <w:r>
              <w:rPr>
                <w:rStyle w:val="CharStyle23"/>
              </w:rPr>
              <w:t xml:space="preserve">- </w:t>
            </w:r>
            <w:r>
              <w:rPr>
                <w:rStyle w:val="CharStyle24"/>
              </w:rPr>
              <w:t>Россия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>Системный блок офисного персонального компьютера:</w:t>
            </w:r>
          </w:p>
          <w:p>
            <w:pPr>
              <w:pStyle w:val="Style10"/>
              <w:numPr>
                <w:ilvl w:val="0"/>
                <w:numId w:val="11"/>
              </w:numPr>
              <w:framePr w:w="10278" w:wrap="notBeside" w:vAnchor="text" w:hAnchor="text" w:xAlign="center" w:y="1"/>
              <w:tabs>
                <w:tab w:leader="none" w:pos="162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 xml:space="preserve">центральный процессор: количество ядер 2, количество обрабатываемых потоков 2, тактовая частота 3,2 ГГц, объем кэша не </w:t>
            </w:r>
            <w:r>
              <w:rPr>
                <w:rStyle w:val="CharStyle23"/>
                <w:lang w:val="en-US" w:eastAsia="en-US" w:bidi="en-US"/>
              </w:rPr>
              <w:t xml:space="preserve">L3 </w:t>
            </w:r>
            <w:r>
              <w:rPr>
                <w:rStyle w:val="CharStyle23"/>
              </w:rPr>
              <w:t xml:space="preserve">3072 Кб, встроенный графический контроллер (с частотой 1100 МГц), процессорный разъем </w:t>
            </w:r>
            <w:r>
              <w:rPr>
                <w:rStyle w:val="CharStyle23"/>
                <w:lang w:val="en-US" w:eastAsia="en-US" w:bidi="en-US"/>
              </w:rPr>
              <w:t>LGA1150;</w:t>
            </w:r>
          </w:p>
          <w:p>
            <w:pPr>
              <w:pStyle w:val="Style10"/>
              <w:numPr>
                <w:ilvl w:val="0"/>
                <w:numId w:val="11"/>
              </w:numPr>
              <w:framePr w:w="10278" w:wrap="notBeside" w:vAnchor="text" w:hAnchor="text" w:xAlign="center" w:y="1"/>
              <w:tabs>
                <w:tab w:leader="none" w:pos="212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 xml:space="preserve">материнская плата: процессорный разъём </w:t>
            </w:r>
            <w:r>
              <w:rPr>
                <w:rStyle w:val="CharStyle23"/>
                <w:lang w:val="en-US" w:eastAsia="en-US" w:bidi="en-US"/>
              </w:rPr>
              <w:t xml:space="preserve">LGA1150, </w:t>
            </w:r>
            <w:r>
              <w:rPr>
                <w:rStyle w:val="CharStyle23"/>
              </w:rPr>
              <w:t xml:space="preserve">наличие 2 слотов оперативной памяти </w:t>
            </w:r>
            <w:r>
              <w:rPr>
                <w:rStyle w:val="CharStyle23"/>
                <w:lang w:val="en-US" w:eastAsia="en-US" w:bidi="en-US"/>
              </w:rPr>
              <w:t xml:space="preserve">DDR3, </w:t>
            </w:r>
            <w:r>
              <w:rPr>
                <w:rStyle w:val="CharStyle23"/>
              </w:rPr>
              <w:t xml:space="preserve">сетевой контроллер производительностью 1 Гбит/с, </w:t>
            </w:r>
            <w:r>
              <w:rPr>
                <w:rStyle w:val="CharStyle23"/>
                <w:lang w:val="en-US" w:eastAsia="en-US" w:bidi="en-US"/>
              </w:rPr>
              <w:t xml:space="preserve">HDMI, </w:t>
            </w:r>
            <w:r>
              <w:rPr>
                <w:rStyle w:val="CharStyle23"/>
              </w:rPr>
              <w:t xml:space="preserve">1 </w:t>
            </w:r>
            <w:r>
              <w:rPr>
                <w:rStyle w:val="CharStyle23"/>
                <w:lang w:val="en-US" w:eastAsia="en-US" w:bidi="en-US"/>
              </w:rPr>
              <w:t xml:space="preserve">VGA, </w:t>
            </w:r>
            <w:r>
              <w:rPr>
                <w:rStyle w:val="CharStyle23"/>
              </w:rPr>
              <w:t xml:space="preserve">выходами </w:t>
            </w:r>
            <w:r>
              <w:rPr>
                <w:rStyle w:val="CharStyle23"/>
                <w:lang w:val="en-US" w:eastAsia="en-US" w:bidi="en-US"/>
              </w:rPr>
              <w:t xml:space="preserve">audio, </w:t>
            </w:r>
            <w:r>
              <w:rPr>
                <w:rStyle w:val="CharStyle23"/>
              </w:rPr>
              <w:t xml:space="preserve">поддержка интерфейсов </w:t>
            </w:r>
            <w:r>
              <w:rPr>
                <w:rStyle w:val="CharStyle23"/>
                <w:lang w:val="en-US" w:eastAsia="en-US" w:bidi="en-US"/>
              </w:rPr>
              <w:t xml:space="preserve">SATA </w:t>
            </w:r>
            <w:r>
              <w:rPr>
                <w:rStyle w:val="CharStyle23"/>
              </w:rPr>
              <w:t xml:space="preserve">3.0, </w:t>
            </w:r>
            <w:r>
              <w:rPr>
                <w:rStyle w:val="CharStyle23"/>
                <w:lang w:val="en-US" w:eastAsia="en-US" w:bidi="en-US"/>
              </w:rPr>
              <w:t xml:space="preserve">USB </w:t>
            </w:r>
            <w:r>
              <w:rPr>
                <w:rStyle w:val="CharStyle23"/>
              </w:rPr>
              <w:t>3.0, форм-фактор тАТХ;</w:t>
            </w:r>
          </w:p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320"/>
            </w:pPr>
            <w:r>
              <w:rPr>
                <w:rStyle w:val="CharStyle23"/>
              </w:rPr>
              <w:t>совместимость материнской платы с программно-аппаратным комплексом "Соболь" 3,0;</w:t>
            </w:r>
          </w:p>
          <w:p>
            <w:pPr>
              <w:pStyle w:val="Style10"/>
              <w:numPr>
                <w:ilvl w:val="0"/>
                <w:numId w:val="11"/>
              </w:numPr>
              <w:framePr w:w="10278" w:wrap="notBeside" w:vAnchor="text" w:hAnchor="text" w:xAlign="center" w:y="1"/>
              <w:tabs>
                <w:tab w:leader="none" w:pos="184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 xml:space="preserve">наличие на материнской плате следующих разъёмов: </w:t>
            </w:r>
            <w:r>
              <w:rPr>
                <w:rStyle w:val="CharStyle23"/>
                <w:lang w:val="en-US" w:eastAsia="en-US" w:bidi="en-US"/>
              </w:rPr>
              <w:t xml:space="preserve">PCI Express </w:t>
            </w:r>
            <w:r>
              <w:rPr>
                <w:rStyle w:val="CharStyle23"/>
              </w:rPr>
              <w:t xml:space="preserve">1 х—1 шт, </w:t>
            </w:r>
            <w:r>
              <w:rPr>
                <w:rStyle w:val="CharStyle23"/>
                <w:lang w:val="en-US" w:eastAsia="en-US" w:bidi="en-US"/>
              </w:rPr>
              <w:t xml:space="preserve">PCI Express </w:t>
            </w:r>
            <w:r>
              <w:rPr>
                <w:rStyle w:val="CharStyle23"/>
              </w:rPr>
              <w:t xml:space="preserve">16х -1 шт, </w:t>
            </w:r>
            <w:r>
              <w:rPr>
                <w:rStyle w:val="CharStyle23"/>
                <w:lang w:val="en-US" w:eastAsia="en-US" w:bidi="en-US"/>
              </w:rPr>
              <w:t xml:space="preserve">PCI </w:t>
            </w:r>
            <w:r>
              <w:rPr>
                <w:rStyle w:val="CharStyle23"/>
              </w:rPr>
              <w:t>-1 шт;</w:t>
            </w:r>
          </w:p>
          <w:p>
            <w:pPr>
              <w:pStyle w:val="Style10"/>
              <w:numPr>
                <w:ilvl w:val="0"/>
                <w:numId w:val="11"/>
              </w:numPr>
              <w:framePr w:w="10278" w:wrap="notBeside" w:vAnchor="text" w:hAnchor="text" w:xAlign="center" w:y="1"/>
              <w:tabs>
                <w:tab w:leader="none" w:pos="176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 xml:space="preserve">оперативная память объёмом 8 Гб (8Гб х 1шт) </w:t>
            </w:r>
            <w:r>
              <w:rPr>
                <w:rStyle w:val="CharStyle23"/>
                <w:lang w:val="en-US" w:eastAsia="en-US" w:bidi="en-US"/>
              </w:rPr>
              <w:t xml:space="preserve">DDR3 </w:t>
            </w:r>
            <w:r>
              <w:rPr>
                <w:rStyle w:val="CharStyle23"/>
              </w:rPr>
              <w:t>РСЗ-12800;</w:t>
            </w:r>
          </w:p>
          <w:p>
            <w:pPr>
              <w:pStyle w:val="Style10"/>
              <w:numPr>
                <w:ilvl w:val="0"/>
                <w:numId w:val="11"/>
              </w:numPr>
              <w:framePr w:w="10278" w:wrap="notBeside" w:vAnchor="text" w:hAnchor="text" w:xAlign="center" w:y="1"/>
              <w:tabs>
                <w:tab w:leader="none" w:pos="158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 xml:space="preserve">накопитель на жёстких магнитных дисках с интерфейсом </w:t>
            </w:r>
            <w:r>
              <w:rPr>
                <w:rStyle w:val="CharStyle23"/>
                <w:lang w:val="en-US" w:eastAsia="en-US" w:bidi="en-US"/>
              </w:rPr>
              <w:t xml:space="preserve">SATA-III </w:t>
            </w:r>
            <w:r>
              <w:rPr>
                <w:rStyle w:val="CharStyle23"/>
              </w:rPr>
              <w:t xml:space="preserve">ёмкостью 1000 Гб, скорость вращения </w:t>
            </w:r>
            <w:r>
              <w:rPr>
                <w:rStyle w:val="CharStyle23"/>
                <w:lang w:val="en-US" w:eastAsia="en-US" w:bidi="en-US"/>
              </w:rPr>
              <w:t>7200rpm;</w:t>
            </w:r>
          </w:p>
          <w:p>
            <w:pPr>
              <w:pStyle w:val="Style10"/>
              <w:numPr>
                <w:ilvl w:val="0"/>
                <w:numId w:val="11"/>
              </w:numPr>
              <w:framePr w:w="10278" w:wrap="notBeside" w:vAnchor="text" w:hAnchor="text" w:xAlign="center" w:y="1"/>
              <w:tabs>
                <w:tab w:leader="none" w:pos="148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 xml:space="preserve">корпус размера </w:t>
            </w:r>
            <w:r>
              <w:rPr>
                <w:rStyle w:val="CharStyle23"/>
                <w:lang w:val="en-US" w:eastAsia="en-US" w:bidi="en-US"/>
              </w:rPr>
              <w:t xml:space="preserve">MidiTower </w:t>
            </w:r>
            <w:r>
              <w:rPr>
                <w:rStyle w:val="CharStyle23"/>
              </w:rPr>
              <w:t>с блоком питания 450 Вт с характеристиками:</w:t>
            </w:r>
          </w:p>
          <w:p>
            <w:pPr>
              <w:pStyle w:val="Style10"/>
              <w:numPr>
                <w:ilvl w:val="0"/>
                <w:numId w:val="13"/>
              </w:numPr>
              <w:framePr w:w="10278" w:wrap="notBeside" w:vAnchor="text" w:hAnchor="text" w:xAlign="center" w:y="1"/>
              <w:tabs>
                <w:tab w:leader="none" w:pos="176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>цвет корпуса: черный;</w:t>
            </w:r>
          </w:p>
          <w:p>
            <w:pPr>
              <w:pStyle w:val="Style10"/>
              <w:numPr>
                <w:ilvl w:val="0"/>
                <w:numId w:val="13"/>
              </w:numPr>
              <w:framePr w:w="10278" w:wrap="notBeside" w:vAnchor="text" w:hAnchor="text" w:xAlign="center" w:y="1"/>
              <w:tabs>
                <w:tab w:leader="none" w:pos="176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>материал корпуса: сталь толщиной 0,8 мм;</w:t>
            </w:r>
          </w:p>
          <w:p>
            <w:pPr>
              <w:pStyle w:val="Style10"/>
              <w:numPr>
                <w:ilvl w:val="0"/>
                <w:numId w:val="13"/>
              </w:numPr>
              <w:framePr w:w="10278" w:wrap="notBeside" w:vAnchor="text" w:hAnchor="text" w:xAlign="center" w:y="1"/>
              <w:tabs>
                <w:tab w:leader="none" w:pos="176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 xml:space="preserve">наличие 2 разъемов питания </w:t>
            </w:r>
            <w:r>
              <w:rPr>
                <w:rStyle w:val="CharStyle23"/>
                <w:lang w:val="en-US" w:eastAsia="en-US" w:bidi="en-US"/>
              </w:rPr>
              <w:t>SATA;</w:t>
            </w:r>
          </w:p>
          <w:p>
            <w:pPr>
              <w:pStyle w:val="Style10"/>
              <w:numPr>
                <w:ilvl w:val="0"/>
                <w:numId w:val="13"/>
              </w:numPr>
              <w:framePr w:w="10278" w:wrap="notBeside" w:vAnchor="text" w:hAnchor="text" w:xAlign="center" w:y="1"/>
              <w:tabs>
                <w:tab w:leader="none" w:pos="227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>возможность безвинтового крепления плат расширения, устройств;</w:t>
            </w:r>
          </w:p>
          <w:p>
            <w:pPr>
              <w:pStyle w:val="Style10"/>
              <w:numPr>
                <w:ilvl w:val="0"/>
                <w:numId w:val="13"/>
              </w:numPr>
              <w:framePr w:w="10278" w:wrap="notBeside" w:vAnchor="text" w:hAnchor="text" w:xAlign="center" w:y="1"/>
              <w:tabs>
                <w:tab w:leader="none" w:pos="356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 xml:space="preserve">наличие дополнительного вентилятора охлаждения </w:t>
            </w:r>
            <w:r>
              <w:rPr>
                <w:rStyle w:val="CharStyle23"/>
                <w:lang w:val="en-US" w:eastAsia="en-US" w:bidi="en-US"/>
              </w:rPr>
              <w:t xml:space="preserve">120x120 </w:t>
            </w:r>
            <w:r>
              <w:rPr>
                <w:rStyle w:val="CharStyle23"/>
              </w:rPr>
              <w:t>мм на задней стенке корпуса;</w:t>
            </w:r>
          </w:p>
          <w:p>
            <w:pPr>
              <w:pStyle w:val="Style10"/>
              <w:numPr>
                <w:ilvl w:val="0"/>
                <w:numId w:val="13"/>
              </w:numPr>
              <w:framePr w:w="10278" w:wrap="notBeside" w:vAnchor="text" w:hAnchor="text" w:xAlign="center" w:y="1"/>
              <w:tabs>
                <w:tab w:leader="none" w:pos="259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 xml:space="preserve">наличие 2-х разъемов </w:t>
            </w:r>
            <w:r>
              <w:rPr>
                <w:rStyle w:val="CharStyle23"/>
                <w:lang w:val="en-US" w:eastAsia="en-US" w:bidi="en-US"/>
              </w:rPr>
              <w:t xml:space="preserve">USB </w:t>
            </w:r>
            <w:r>
              <w:rPr>
                <w:rStyle w:val="CharStyle23"/>
              </w:rPr>
              <w:t>на передней панели корпуса.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52</w:t>
            </w:r>
          </w:p>
        </w:tc>
      </w:tr>
      <w:tr>
        <w:trPr>
          <w:trHeight w:val="303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40" w:right="0" w:firstLine="0"/>
            </w:pPr>
            <w:r>
              <w:rPr>
                <w:rStyle w:val="CharStyle23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227" w:lineRule="exact"/>
              <w:ind w:left="0" w:right="0" w:firstLine="0"/>
            </w:pPr>
            <w:r>
              <w:rPr>
                <w:rStyle w:val="CharStyle23"/>
              </w:rPr>
              <w:t>Набор клавиатура, мышь</w:t>
            </w:r>
          </w:p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80" w:after="0" w:line="227" w:lineRule="exact"/>
              <w:ind w:left="460" w:right="0" w:firstLine="360"/>
            </w:pPr>
            <w:r>
              <w:rPr>
                <w:rStyle w:val="CharStyle24"/>
              </w:rPr>
              <w:t>Страна происхождения товара - Китай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23"/>
              </w:rPr>
              <w:t xml:space="preserve">Набор клавиатура, мышь. Клавиатура с характеристиками: с разъёмом </w:t>
            </w:r>
            <w:r>
              <w:rPr>
                <w:rStyle w:val="CharStyle23"/>
                <w:lang w:val="en-US" w:eastAsia="en-US" w:bidi="en-US"/>
              </w:rPr>
              <w:t xml:space="preserve">USB, </w:t>
            </w:r>
            <w:r>
              <w:rPr>
                <w:rStyle w:val="CharStyle23"/>
              </w:rPr>
              <w:t xml:space="preserve">количество клавиш 104. Габариты (ВхШхГ) 3,2x50x22см. Вес 890 г, клавиши островного типа, русские буквы выделены другим цветом, в отличие от латинских. Мышь с характеристиками: оптическая, соединение проводное, интерфейс подключения </w:t>
            </w:r>
            <w:r>
              <w:rPr>
                <w:rStyle w:val="CharStyle23"/>
                <w:lang w:val="en-US" w:eastAsia="en-US" w:bidi="en-US"/>
              </w:rPr>
              <w:t xml:space="preserve">USB, </w:t>
            </w:r>
            <w:r>
              <w:rPr>
                <w:rStyle w:val="CharStyle23"/>
              </w:rPr>
              <w:t xml:space="preserve">для правой руки, разрешение сенсора 3200 </w:t>
            </w:r>
            <w:r>
              <w:rPr>
                <w:rStyle w:val="CharStyle23"/>
                <w:lang w:val="en-US" w:eastAsia="en-US" w:bidi="en-US"/>
              </w:rPr>
              <w:t xml:space="preserve">dpi, </w:t>
            </w:r>
            <w:r>
              <w:rPr>
                <w:rStyle w:val="CharStyle23"/>
              </w:rPr>
              <w:t xml:space="preserve">длина кабеля 1,8 м, наличие колеса прокрутки, горизонтальной прокрутки, подсветки. Габариты: (ВхШхГ) </w:t>
            </w:r>
            <w:r>
              <w:rPr>
                <w:rStyle w:val="CharStyle23"/>
                <w:lang w:val="en-US" w:eastAsia="en-US" w:bidi="en-US"/>
              </w:rPr>
              <w:t xml:space="preserve">4,2x130x80 </w:t>
            </w:r>
            <w:r>
              <w:rPr>
                <w:rStyle w:val="CharStyle23"/>
              </w:rPr>
              <w:t>см. Вес 137 г.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102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52</w:t>
            </w: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587"/>
        <w:gridCol w:w="2282"/>
        <w:gridCol w:w="4262"/>
        <w:gridCol w:w="1285"/>
        <w:gridCol w:w="1872"/>
      </w:tblGrid>
      <w:tr>
        <w:trPr>
          <w:trHeight w:val="604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8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230" w:lineRule="exact"/>
              <w:ind w:left="0" w:right="0" w:firstLine="0"/>
            </w:pPr>
            <w:r>
              <w:rPr>
                <w:rStyle w:val="CharStyle23"/>
              </w:rPr>
              <w:t xml:space="preserve">Многофункциональное устройство </w:t>
            </w:r>
            <w:r>
              <w:rPr>
                <w:rStyle w:val="CharStyle23"/>
                <w:lang w:val="en-US" w:eastAsia="en-US" w:bidi="en-US"/>
              </w:rPr>
              <w:t>Kyocera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227" w:lineRule="exact"/>
              <w:ind w:left="0" w:right="0" w:firstLine="0"/>
            </w:pPr>
            <w:r>
              <w:rPr>
                <w:rStyle w:val="CharStyle24"/>
              </w:rPr>
              <w:t>Страна происхождения товара - Китай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Многофункциональное устройство (принтер, сканер, копир, факс) с характеристиками: тип печати черно-белая, технология печати лазерная. Объем памяти процессора 1024 Мб, частота 800 МГц. Уровень шума при работе 46,8 дБ. Габариты (ШхВхГ) 590x694x590мм, вес 52,2 кг.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Принтер: максимальный формат АЗ. наличие двусторонней печати, скорость печати 25 стр/мин, время разогрева 20 с, время выхода первого отпечатка 8 с.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 xml:space="preserve">Сканер: тип сканера планшетный, глубина цвета 24 бит, разрешение сканера </w:t>
            </w:r>
            <w:r>
              <w:rPr>
                <w:rStyle w:val="CharStyle23"/>
                <w:lang w:val="en-US" w:eastAsia="en-US" w:bidi="en-US"/>
              </w:rPr>
              <w:t xml:space="preserve">600x600 dpi, </w:t>
            </w:r>
            <w:r>
              <w:rPr>
                <w:rStyle w:val="CharStyle23"/>
              </w:rPr>
              <w:t>двусторонняя автоподача оригиналов.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Копир: скорость копирования 25 стр/мин. время выхода первой копии 7 с, изменение масштаба в диапазоне 25-400%, количество копий за цикл 999.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Лотки: подача бумаги 600 листов, емкость лотка ручной подачи 100 листов.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Наличие картриджей 1-н с ресурсом тонера 15000 страниц.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Максимальная скорость передачи факса 33,6 кбит/с.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Класс энергетической эффективности: класса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«А»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5</w:t>
            </w:r>
          </w:p>
        </w:tc>
      </w:tr>
      <w:tr>
        <w:trPr>
          <w:trHeight w:val="301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20" w:right="0" w:firstLine="0"/>
            </w:pPr>
            <w:r>
              <w:rPr>
                <w:rStyle w:val="CharStyle23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300" w:line="170" w:lineRule="exact"/>
              <w:ind w:left="0" w:right="0" w:firstLine="0"/>
            </w:pPr>
            <w:r>
              <w:rPr>
                <w:rStyle w:val="CharStyle23"/>
              </w:rPr>
              <w:t xml:space="preserve">Факс </w:t>
            </w:r>
            <w:r>
              <w:rPr>
                <w:rStyle w:val="CharStyle23"/>
                <w:lang w:val="en-US" w:eastAsia="en-US" w:bidi="en-US"/>
              </w:rPr>
              <w:t>Panasonic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300" w:after="0" w:line="230" w:lineRule="exact"/>
              <w:ind w:left="0" w:right="0" w:firstLine="0"/>
            </w:pPr>
            <w:r>
              <w:rPr>
                <w:rStyle w:val="CharStyle24"/>
              </w:rPr>
              <w:t>Страна происхождения товара - Китай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Факсимильный аппарат с характеристиками:</w:t>
            </w:r>
          </w:p>
          <w:p>
            <w:pPr>
              <w:pStyle w:val="Style10"/>
              <w:numPr>
                <w:ilvl w:val="0"/>
                <w:numId w:val="15"/>
              </w:numPr>
              <w:framePr w:w="10289" w:wrap="notBeside" w:vAnchor="text" w:hAnchor="text" w:xAlign="center" w:y="1"/>
              <w:tabs>
                <w:tab w:leader="none" w:pos="115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23"/>
              </w:rPr>
              <w:t>тип печати - термопечать;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23"/>
              </w:rPr>
              <w:t>Тип бумаги рулон;</w:t>
            </w:r>
          </w:p>
          <w:p>
            <w:pPr>
              <w:pStyle w:val="Style10"/>
              <w:numPr>
                <w:ilvl w:val="0"/>
                <w:numId w:val="15"/>
              </w:numPr>
              <w:framePr w:w="10289" w:wrap="notBeside" w:vAnchor="text" w:hAnchor="text" w:xAlign="center" w:y="1"/>
              <w:tabs>
                <w:tab w:leader="none" w:pos="126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23"/>
              </w:rPr>
              <w:t>максимальный формат печати - А4;</w:t>
            </w:r>
          </w:p>
          <w:p>
            <w:pPr>
              <w:pStyle w:val="Style10"/>
              <w:numPr>
                <w:ilvl w:val="0"/>
                <w:numId w:val="15"/>
              </w:numPr>
              <w:framePr w:w="10289" w:wrap="notBeside" w:vAnchor="text" w:hAnchor="text" w:xAlign="center" w:y="1"/>
              <w:tabs>
                <w:tab w:leader="none" w:pos="119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23"/>
              </w:rPr>
              <w:t>скорость встроенного модема 9,6 Кбит/сек;</w:t>
            </w:r>
          </w:p>
          <w:p>
            <w:pPr>
              <w:pStyle w:val="Style10"/>
              <w:numPr>
                <w:ilvl w:val="0"/>
                <w:numId w:val="15"/>
              </w:numPr>
              <w:framePr w:w="10289" w:wrap="notBeside" w:vAnchor="text" w:hAnchor="text" w:xAlign="center" w:y="1"/>
              <w:tabs>
                <w:tab w:leader="none" w:pos="246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наличие ЖК-дисплея (2-е строки, возможность отображения 16 знаков);</w:t>
            </w:r>
          </w:p>
          <w:p>
            <w:pPr>
              <w:pStyle w:val="Style10"/>
              <w:numPr>
                <w:ilvl w:val="0"/>
                <w:numId w:val="15"/>
              </w:numPr>
              <w:framePr w:w="10289" w:wrap="notBeside" w:vAnchor="text" w:hAnchor="text" w:xAlign="center" w:y="1"/>
              <w:tabs>
                <w:tab w:leader="none" w:pos="246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наличие автоподатчика оригиналов с емкостью подающего лотка 10 листов;</w:t>
            </w:r>
          </w:p>
          <w:p>
            <w:pPr>
              <w:pStyle w:val="Style10"/>
              <w:numPr>
                <w:ilvl w:val="0"/>
                <w:numId w:val="15"/>
              </w:numPr>
              <w:framePr w:w="10289" w:wrap="notBeside" w:vAnchor="text" w:hAnchor="text" w:xAlign="center" w:y="1"/>
              <w:tabs>
                <w:tab w:leader="none" w:pos="126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23"/>
              </w:rPr>
              <w:t>память страниц на приём -28 страниц;</w:t>
            </w:r>
          </w:p>
          <w:p>
            <w:pPr>
              <w:pStyle w:val="Style10"/>
              <w:numPr>
                <w:ilvl w:val="0"/>
                <w:numId w:val="15"/>
              </w:numPr>
              <w:framePr w:w="10289" w:wrap="notBeside" w:vAnchor="text" w:hAnchor="text" w:xAlign="center" w:y="1"/>
              <w:tabs>
                <w:tab w:leader="none" w:pos="162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23"/>
              </w:rPr>
              <w:t xml:space="preserve">наличие функций копирования, отложенной передачи. Размеры (ШхВхГ) </w:t>
            </w:r>
            <w:r>
              <w:rPr>
                <w:rStyle w:val="CharStyle23"/>
                <w:lang w:val="en-US" w:eastAsia="en-US" w:bidi="en-US"/>
              </w:rPr>
              <w:t xml:space="preserve">352x121x224 </w:t>
            </w:r>
            <w:r>
              <w:rPr>
                <w:rStyle w:val="CharStyle23"/>
              </w:rPr>
              <w:t>мм. Вес 2,7 кг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11</w:t>
            </w:r>
          </w:p>
        </w:tc>
      </w:tr>
      <w:tr>
        <w:trPr>
          <w:trHeight w:val="162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20" w:right="0" w:firstLine="0"/>
            </w:pPr>
            <w:r>
              <w:rPr>
                <w:rStyle w:val="CharStyle23"/>
              </w:rPr>
              <w:t>б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70" w:lineRule="exact"/>
              <w:ind w:left="0" w:right="0" w:firstLine="0"/>
            </w:pPr>
            <w:r>
              <w:rPr>
                <w:rStyle w:val="CharStyle23"/>
              </w:rPr>
              <w:t>Мультимедиапроектор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300" w:line="170" w:lineRule="exact"/>
              <w:ind w:left="0" w:right="0" w:firstLine="0"/>
            </w:pPr>
            <w:r>
              <w:rPr>
                <w:rStyle w:val="CharStyle23"/>
                <w:lang w:val="en-US" w:eastAsia="en-US" w:bidi="en-US"/>
              </w:rPr>
              <w:t>Epson</w:t>
            </w:r>
          </w:p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300" w:after="0" w:line="230" w:lineRule="exact"/>
              <w:ind w:left="0" w:right="0" w:firstLine="0"/>
            </w:pPr>
            <w:r>
              <w:rPr>
                <w:rStyle w:val="CharStyle24"/>
              </w:rPr>
              <w:t>Страна происхождения товара - Китай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23"/>
              </w:rPr>
              <w:t xml:space="preserve">Мультимедиапроектор стационарный, тип устройства </w:t>
            </w:r>
            <w:r>
              <w:rPr>
                <w:rStyle w:val="CharStyle23"/>
                <w:lang w:val="en-US" w:eastAsia="en-US" w:bidi="en-US"/>
              </w:rPr>
              <w:t xml:space="preserve">LCDx3, </w:t>
            </w:r>
            <w:r>
              <w:rPr>
                <w:rStyle w:val="CharStyle23"/>
              </w:rPr>
              <w:t xml:space="preserve">разрешение </w:t>
            </w:r>
            <w:r>
              <w:rPr>
                <w:rStyle w:val="CharStyle23"/>
                <w:lang w:val="en-US" w:eastAsia="en-US" w:bidi="en-US"/>
              </w:rPr>
              <w:t xml:space="preserve">1024x768, </w:t>
            </w:r>
            <w:r>
              <w:rPr>
                <w:rStyle w:val="CharStyle23"/>
              </w:rPr>
              <w:t>световой поток 3600 люмен, контрастность 15000:1, проекционное расстояние в диапазоне 1,2-18,1 м, частота строчной развертки в диапазоне 15-91 кГц, частота кадровой развертки в диапазоне 50-85 Гц, вес 2,6 кг.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3</w:t>
            </w:r>
          </w:p>
        </w:tc>
      </w:tr>
      <w:tr>
        <w:trPr>
          <w:trHeight w:val="117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20" w:right="0" w:firstLine="0"/>
            </w:pPr>
            <w:r>
              <w:rPr>
                <w:rStyle w:val="CharStyle23"/>
              </w:rPr>
              <w:t>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 xml:space="preserve">Экран проекционный </w:t>
            </w:r>
            <w:r>
              <w:rPr>
                <w:rStyle w:val="CharStyle23"/>
                <w:lang w:val="en-US" w:eastAsia="en-US" w:bidi="en-US"/>
              </w:rPr>
              <w:t xml:space="preserve">Digis </w:t>
            </w:r>
            <w:r>
              <w:rPr>
                <w:rStyle w:val="CharStyle24"/>
              </w:rPr>
              <w:t>Страна происхождения товара - Китай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23"/>
              </w:rPr>
              <w:t>Экран навесной проекционный, антибликовый, размер 1,5м х 1,5 м. Наличие механизма свертывания, Экранное полотно из синтетической бестканевой белой пленки. Коэффициент отражения пленки 0,8.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1028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3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257" w:after="0" w:line="270" w:lineRule="exact"/>
        <w:ind w:left="320" w:right="4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письмом Министерства экономического развития РФ от 16.02.2016 г. № Д28и-319 «О применении постановления Правительства Российской Федерации от 29 декабря 2015 г. № 1457 и приказа Минэкономразвития России от 25 марта 2014 г. № 155» «...при осуществлении закупки путем электронного аукциона с применением приказа № 155 в случае отсутствия в составе второй части заявки на участие в электронном аукционе декларации о стране происхождения, такая заявка </w:t>
      </w:r>
      <w:r>
        <w:rPr>
          <w:rStyle w:val="CharStyle25"/>
        </w:rPr>
        <w:t xml:space="preserve">не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отклоняется.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320" w:right="4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14 Закона о контраткной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Определение страны происхождения указанных товаров осуществляется в соответствии с законодательством Российской Федерации.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извещении о проведении электронного аукциона наряду с информацией, указанной в статье 42 Закона о контраткной системе, указываются 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(пункт 7 части 5 статьи 63 названного Закона).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Приказом Министерства экономического развития Российской Федерации от 25.03.2014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155 "Об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нужд" (далее - Приказ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155) определены условия допуска для целей осуществления закупок товаров, происходящих из иностранных государств (пункт 1).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пункта 7 Приказа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155 при осуществлении закупок товаров путем проведения аукциона, в случае если победителем аукциона представлена заявка на участие в аукционе, которая содержит предложение о поставке товаров, происходящих из иностранных государств, за исключением товаров, происходящих из Республики Беларусь и Республики Казахстан, контракт с таким победителем аукциона заключается по цене, предложенной участником аукциона, сниженной на 15 процентов от предложенной цены контракта.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снижение цены контракта на 15 процентов ниже предложенной победителем аукциона в порядке пункта 7 названного Приказа возможно, если победителем аукциона представлена заявка с предложением о поставке товара, происходящего из иностранного государства, в то время как в других заявках на участие в аукционе содержатся предложения о поставке товаров российского, белорусского и (или) казахстанского происхождения.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Для целей реализации Приказа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155 рекомендуется устанавливать в документации о закупке требование об указании (декларировании) участником конкурса, аукциона, запроса котировок или запроса предложений в заявке на участие в конкурсе, аукционе, запросе котировок или запросе предложений, окончательном предложении страны происхождения поставляемого товара (пункт 9 названного Приказа).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форме и порядку декларирования страны происхождения в Законе о контраткной системе отсутствуют.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пункта 3 части 3 статьи 66 Закона о контраткной системе следует, что первая часть заявки на участие в электронном аукционе должна содержать, в том числе информацию о наименовании страны происхождения товара.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6 части 5 статьи 66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статьей 14 названного Закона, или копии этих документов.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при осуществлении закупки путем проведения электронного аукциона решение об отклонении заявки может быть принято только в случае отсутствия наименования страны происхождения товара в первой части заявки.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Поскольку в силу части 2 статьи 66 Закона о контраткной системе заявка на участие в электронном аукционе является единым документом, состоящим из двух частей, то заказчик рассматривает заявку участника в совокупности, а не по отдельности ее первую и вторую части.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46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Принимая во внимание, что Заявитель продекларировал страну происхождения товара, указав эти сведения в первой части своей заявки, Комиссия Управления считает, что аукционная комиссия не нарушила требований законодательства о закупках, рассмотрев заявку ООО «СТМ» в совокупности и установив, что декларация о стране происхождения товара фактически представлена участником с первой частью заявки.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37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Управления пришла к выводу о необоснованности довода Заявителя, в части нарушения в действиях аукционной комиссии пункта 1 части 6 статьи 69 Закона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55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137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0"/>
        <w:numPr>
          <w:ilvl w:val="0"/>
          <w:numId w:val="17"/>
        </w:numPr>
        <w:tabs>
          <w:tab w:leader="none" w:pos="9686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«СТМ» от 01.11.2017 №1706-ж на действия аукционной комиссии Заказчика - Департамент жилищно-коммунального и строительного комплекса администрации города Югорска, Уполномоченного органа - Администрация города Югорска при проведении электронного аукциона, предметом которого является поставка компьютерного и электронного оборудования на объект:</w:t>
        <w:tab/>
        <w:t>"Физкультурно-спортивный комплекс с универсальным игровым залом в городе Югорске" (извещение №0187300005817000357 необоснованной.</w:t>
      </w:r>
    </w:p>
    <w:p>
      <w:pPr>
        <w:pStyle w:val="Style10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87" w:left="819" w:right="790" w:bottom="98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Направить данное решение сторонам и опубликовать на официальном сайте единой информационной системы в сфере закупок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).</w:t>
      </w: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92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3847" w:left="1006" w:right="8102" w:bottom="384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/>
        <w:ind w:left="0" w:right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В соответствии с частью 9 статьи 106 Закона о контрактной системе решение, принятое по результатам рассмотрения жалобы по существу может быть обжаловано в судебном порядке в течение трех месяцев со дня его принятия.</w:t>
      </w:r>
      <w:r>
        <w:br w:type="page"/>
      </w:r>
    </w:p>
    <w:sectPr>
      <w:type w:val="continuous"/>
      <w:pgSz w:w="11906" w:h="16838"/>
      <w:pgMar w:top="3847" w:left="1003" w:right="963" w:bottom="384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7"/>
      <w:numFmt w:val="decimal"/>
      <w:lvlText w:val="23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17"/>
      <w:numFmt w:val="decimal"/>
      <w:lvlText w:val="24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7"/>
        <w:szCs w:val="17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7"/>
        <w:szCs w:val="17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bullet"/>
      <w:lvlText w:val="&gt;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7"/>
        <w:szCs w:val="17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7"/>
        <w:szCs w:val="17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"/>
    </w:rPr>
  </w:style>
  <w:style w:type="character" w:customStyle="1" w:styleId="CharStyle6">
    <w:name w:val="Основной текст (3) Exact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"/>
    </w:rPr>
  </w:style>
  <w:style w:type="character" w:customStyle="1" w:styleId="CharStyle8">
    <w:name w:val="Основной текст (4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8"/>
    </w:rPr>
  </w:style>
  <w:style w:type="character" w:customStyle="1" w:styleId="CharStyle9">
    <w:name w:val="Основной текст (4) Exact"/>
    <w:basedOn w:val="CharStyle8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12">
    <w:name w:val="Основной текст Exact"/>
    <w:basedOn w:val="CharStyle16"/>
    <w:rPr>
      <w:u w:val="single"/>
      <w:sz w:val="21"/>
      <w:szCs w:val="21"/>
      <w:spacing w:val="6"/>
    </w:rPr>
  </w:style>
  <w:style w:type="character" w:customStyle="1" w:styleId="CharStyle13">
    <w:name w:val="Основной текст + 14 pt,Курсив,Интервал -2 pt Exact"/>
    <w:basedOn w:val="CharStyle16"/>
    <w:rPr>
      <w:i/>
      <w:iCs/>
      <w:u w:val="single"/>
      <w:sz w:val="28"/>
      <w:szCs w:val="28"/>
      <w:spacing w:val="-41"/>
    </w:rPr>
  </w:style>
  <w:style w:type="character" w:customStyle="1" w:styleId="CharStyle14">
    <w:name w:val="Основной текст Exact"/>
    <w:basedOn w:val="CharStyle16"/>
    <w:rPr>
      <w:u w:val="single"/>
      <w:sz w:val="21"/>
      <w:szCs w:val="21"/>
      <w:spacing w:val="6"/>
    </w:rPr>
  </w:style>
  <w:style w:type="character" w:customStyle="1" w:styleId="CharStyle15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6">
    <w:name w:val="Основной текст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8">
    <w:name w:val="Заголовок №1_"/>
    <w:basedOn w:val="DefaultParagraphFont"/>
    <w:link w:val="Style17"/>
    <w:rPr>
      <w:b/>
      <w:bCs/>
      <w:i w:val="0"/>
      <w:iCs w:val="0"/>
      <w:u w:val="none"/>
      <w:strike w:val="0"/>
      <w:smallCaps w:val="0"/>
      <w:rFonts w:ascii="Consolas" w:eastAsia="Consolas" w:hAnsi="Consolas" w:cs="Consolas"/>
    </w:rPr>
  </w:style>
  <w:style w:type="character" w:customStyle="1" w:styleId="CharStyle19">
    <w:name w:val="Основной текст"/>
    <w:basedOn w:val="CharStyle1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1">
    <w:name w:val="Подпись к таблице_"/>
    <w:basedOn w:val="DefaultParagraphFont"/>
    <w:link w:val="Style2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Подпись к таблице"/>
    <w:basedOn w:val="CharStyle2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 + 8,5 pt"/>
    <w:basedOn w:val="CharStyle16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24">
    <w:name w:val="Основной текст + 8,5 pt,Полужирный"/>
    <w:basedOn w:val="CharStyle16"/>
    <w:rPr>
      <w:lang w:val="ru-RU" w:eastAsia="ru-RU" w:bidi="ru-RU"/>
      <w:b/>
      <w:bCs/>
      <w:sz w:val="17"/>
      <w:szCs w:val="17"/>
      <w:w w:val="100"/>
      <w:spacing w:val="0"/>
      <w:color w:val="000000"/>
      <w:position w:val="0"/>
    </w:rPr>
  </w:style>
  <w:style w:type="character" w:customStyle="1" w:styleId="CharStyle25">
    <w:name w:val="Основной текст + Полужирный"/>
    <w:basedOn w:val="CharStyle1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26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15"/>
    <w:pPr>
      <w:widowControl w:val="0"/>
      <w:shd w:val="clear" w:color="auto" w:fill="FFFFFF"/>
      <w:jc w:val="both"/>
      <w:spacing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60" w:after="240" w:line="23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8"/>
    </w:rPr>
  </w:style>
  <w:style w:type="paragraph" w:customStyle="1" w:styleId="Style10">
    <w:name w:val="Основной текст"/>
    <w:basedOn w:val="Normal"/>
    <w:link w:val="CharStyle16"/>
    <w:pPr>
      <w:widowControl w:val="0"/>
      <w:shd w:val="clear" w:color="auto" w:fill="FFFFFF"/>
      <w:jc w:val="both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jc w:val="both"/>
      <w:outlineLvl w:val="0"/>
      <w:spacing w:before="60" w:line="277" w:lineRule="exact"/>
    </w:pPr>
    <w:rPr>
      <w:b/>
      <w:bCs/>
      <w:i w:val="0"/>
      <w:iCs w:val="0"/>
      <w:u w:val="none"/>
      <w:strike w:val="0"/>
      <w:smallCaps w:val="0"/>
      <w:rFonts w:ascii="Consolas" w:eastAsia="Consolas" w:hAnsi="Consolas" w:cs="Consolas"/>
    </w:rPr>
  </w:style>
  <w:style w:type="paragraph" w:customStyle="1" w:styleId="Style20">
    <w:name w:val="Подпись к таблице"/>
    <w:basedOn w:val="Normal"/>
    <w:link w:val="CharStyle21"/>
    <w:pPr>
      <w:widowControl w:val="0"/>
      <w:shd w:val="clear" w:color="auto" w:fill="FFFFFF"/>
      <w:jc w:val="both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jc w:val="both"/>
      <w:spacing w:line="227" w:lineRule="exact"/>
      <w:ind w:firstLine="720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