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3639" w:h="440" w:wrap="around" w:vAnchor="text" w:hAnchor="margin" w:x="554" w:y="120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43"/>
        <w:ind w:left="19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«Центр поставок Профит» (Заявитель) 354000, Краснодарский край, г.Сочи, ул. Навагинская, 9Д, оф.23</w:t>
      </w:r>
    </w:p>
    <w:p>
      <w:pPr>
        <w:pStyle w:val="Style5"/>
        <w:framePr w:h="220" w:wrap="around" w:vAnchor="text" w:hAnchor="margin" w:x="1393" w:y="59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6"/>
          <w:b/>
          <w:bCs/>
          <w:spacing w:val="0"/>
        </w:rPr>
        <w:t>УПРАВЛЕНИЕ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МКУ «Дирекция по строительству объектов транспортной инфраструктуры» г.Ростова-на-Дону (Заказчик)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Федеральной антимонопольной службызд^^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j </w:t>
      </w:r>
      <w:r>
        <w:rPr>
          <w:rStyle w:val="CharStyle10"/>
          <w:b w:val="0"/>
          <w:bCs w:val="0"/>
        </w:rPr>
        <w:t>г.Ростов-на-Дону, ул.Варфоломеева,203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4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27" w:left="676" w:right="618" w:bottom="14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Ростовской области</w:t>
      </w:r>
    </w:p>
    <w:p>
      <w:pPr>
        <w:widowControl w:val="0"/>
        <w:spacing w:line="191" w:lineRule="exact"/>
        <w:rPr>
          <w:sz w:val="15"/>
          <w:szCs w:val="1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framePr w:h="200" w:wrap="around" w:vAnchor="text" w:hAnchor="margin" w:x="1738" w:y="1619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2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314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Ворошиловский. 2/2. офис 403 г. Ростов-на-Дону. 344006 тел. (863) 263-31-04.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pStyle w:val="Style13"/>
        <w:tabs>
          <w:tab w:leader="none" w:pos="1865" w:val="right"/>
          <w:tab w:leader="none" w:pos="2812" w:val="right"/>
          <w:tab w:leader="underscore" w:pos="357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5" w:line="170" w:lineRule="exact"/>
        <w:ind w:left="220" w:right="0" w:firstLine="0"/>
      </w:pPr>
      <w:r>
        <w:rPr>
          <w:rStyle w:val="CharStyle15"/>
        </w:rPr>
        <w:t>13.11.201»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№</w:t>
        <w:tab/>
      </w:r>
      <w:r>
        <w:rPr>
          <w:rStyle w:val="CharStyle15"/>
        </w:rPr>
        <w:t>2ШЗ/(73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ЗАО «Сбербанк-автоматизированная система торгов» (Оператор)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119435, г.Москва,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40" w:line="3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пер. Большой Саввинский, 12, стр.9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Правительство Ростовской области (Привлеченное лицо)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0" w:right="0" w:firstLine="0"/>
        <w:sectPr>
          <w:type w:val="continuous"/>
          <w:pgSz w:w="11906" w:h="16838"/>
          <w:pgMar w:top="412" w:left="1230" w:right="1198" w:bottom="128" w:header="0" w:footer="3" w:gutter="0"/>
          <w:rtlGutter w:val="0"/>
          <w:cols w:num="2" w:space="720" w:equalWidth="0">
            <w:col w:w="3582" w:space="634"/>
            <w:col w:w="5263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344050, г.Ростов-на-Дону, ул. Социалистическая, 112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widowControl w:val="0"/>
        <w:keepNext/>
        <w:keepLines/>
        <w:shd w:val="clear" w:color="auto" w:fill="auto"/>
        <w:bidi w:val="0"/>
        <w:spacing w:before="0" w:after="291" w:line="26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  <w:bookmarkEnd w:id="0"/>
    </w:p>
    <w:p>
      <w:pPr>
        <w:pStyle w:val="Style7"/>
        <w:tabs>
          <w:tab w:leader="none" w:pos="10278" w:val="right"/>
        </w:tabs>
        <w:widowControl w:val="0"/>
        <w:keepNext w:val="0"/>
        <w:keepLines w:val="0"/>
        <w:shd w:val="clear" w:color="auto" w:fill="auto"/>
        <w:bidi w:val="0"/>
        <w:spacing w:before="0" w:after="254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09.11.2017г.</w:t>
        <w:tab/>
        <w:t>г.Ростов-на-Дону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(далее - Ростовское У ФАС России) по контролю соблюдения законодательства о контрактной системе в сфере закупок в составе:</w:t>
      </w:r>
    </w:p>
    <w:p>
      <w:pPr>
        <w:pStyle w:val="Style7"/>
        <w:tabs>
          <w:tab w:leader="none" w:pos="4090" w:val="left"/>
        </w:tabs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К.А. Коренченко,</w:t>
      </w:r>
    </w:p>
    <w:p>
      <w:pPr>
        <w:pStyle w:val="Style7"/>
        <w:tabs>
          <w:tab w:leader="none" w:pos="4090" w:val="left"/>
        </w:tabs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Т.С. Акопян, А.Д. Кравцов,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80" w:line="31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дело №2168/03 о нарушении норм Федерального закона «О контрактной системе в сфере закупок товаров, работ, услуг для обеспечения государственных и муниципальных нужд» (далее - Закон) при проведении открытого аукциона в электронной форме №0358300284517000148 «Реконструкция мостового перехода через р.Дон в створе Ворошиловского проспекта в г.Ростов-на-Дону (ремонт подземного пешеходного перехода под ул. Нижнебульварная)», в присутствии: от Заказчика - С.В. Дуковой, Н.А. Бондаренко, в отсутствие представителя Привлеченного лица,</w:t>
      </w:r>
    </w:p>
    <w:p>
      <w:pPr>
        <w:pStyle w:val="Style17"/>
        <w:widowControl w:val="0"/>
        <w:keepNext/>
        <w:keepLines/>
        <w:shd w:val="clear" w:color="auto" w:fill="auto"/>
        <w:bidi w:val="0"/>
        <w:spacing w:before="0" w:after="265" w:line="260" w:lineRule="exact"/>
        <w:ind w:left="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1"/>
    </w:p>
    <w:p>
      <w:pPr>
        <w:pStyle w:val="Style7"/>
        <w:numPr>
          <w:ilvl w:val="0"/>
          <w:numId w:val="1"/>
        </w:numPr>
        <w:tabs>
          <w:tab w:leader="none" w:pos="1098" w:val="left"/>
        </w:tabs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поступила жалоба Заявителя (вх.№16597 от</w:t>
      </w:r>
    </w:p>
    <w:p>
      <w:pPr>
        <w:pStyle w:val="Style7"/>
        <w:numPr>
          <w:ilvl w:val="0"/>
          <w:numId w:val="3"/>
        </w:numPr>
        <w:tabs>
          <w:tab w:leader="none" w:pos="1430" w:val="left"/>
        </w:tabs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г.), в которой оспорены положения документации об аукционе.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в возражениях (б/н и даты) на жалобу: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отрицал нарушения Закона при формировании документации об аукционе;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представил пояснения по доводам жалобы;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жалобу полагал необоснованной.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ч.ч.1, 3, 15 ст.99 Закона, «Административным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</w:t>
      </w:r>
    </w:p>
    <w:p>
      <w:pPr>
        <w:pStyle w:val="Style19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16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009767</w:t>
      </w:r>
      <w:bookmarkEnd w:id="2"/>
      <w:r>
        <w:br w:type="page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 (далее - Регламент), утвержденным Приказом ФАС России от 19.11.2014 г. №727/14, по данной жалобе проведена внеплановая проверка порядка осуществления закупки, в результате которой установлено следующее: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«Извещению о проведении электронного аукциона» (от 17.10.2017 г.; далее - Извещение) №0358300284517000148: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0" w:firstLine="9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установлены дата и время окончания подачи заявок - 02.11.2017 г. в 08-00;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0" w:firstLine="9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начальная (максимальная) цена контракта (НМЦК) составила 8 158 425,6 руб.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Документация об аукционе и Извещение (в данной редакции) размещены в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Единой информационной системе (ЕИС) на сайте </w:t>
      </w:r>
      <w:r>
        <w:fldChar w:fldCharType="begin"/>
      </w:r>
      <w:r>
        <w:rPr>
          <w:rStyle w:val="CharStyle21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19.09.2017 г.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40" w:line="31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Документация об аукционе утверждена Заместителем директора Заказчика.</w:t>
      </w:r>
    </w:p>
    <w:p>
      <w:pPr>
        <w:pStyle w:val="Style7"/>
        <w:numPr>
          <w:ilvl w:val="0"/>
          <w:numId w:val="1"/>
        </w:numPr>
        <w:tabs>
          <w:tab w:leader="none" w:pos="1042" w:val="left"/>
        </w:tabs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п.п.1, 2 ч.1 ст.64 Закона документация о проведении электронного аукциона должна содержать: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40" w:firstLine="11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 и описание объекта закупки и условия контракта в соответствии со ст.ЗЗ Закона;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40" w:firstLine="11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требования к содержанию, составу заявки на участие в аукционе в соответствии с ч.ч.З-б ст.66 Закона и инструкцию по заполнению заявки.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не допускается установление требований, влекущих ограничение количества участников аукциона или ограничение доступа к участию в аукционе.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п.п.1, 2 ч.1 ст.ЗЗ Закона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40" w:firstLine="11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40" w:firstLine="11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РФ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РФ о стандартизации, иных требований, связанных с определением соответствия поставляемого товара, выполняемой работы потребностям заказчика;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40" w:firstLine="9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РФ о техническом регулировании, законодательством РФ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согласно п.1 ч.1 ст.ЗЗ Закона не допускается включение в доку</w:t>
        <w:softHyphen/>
        <w:t>ментацию о закупке требований к товарам, информации, работам, услугам, при условии, что такие требования влекут за собой ограничение количества участников закупки.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Данные правила предполагают описание объекта закупки путем указания тех требований к товарам, которые изложены в стандартах на данный товар. Кроме того, такие требования должны носить объективный характер. При этом установлен запрет требования информации, обязанность представления которой ведет к ограничению количества участников закупки.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ст.ЗЗ Закона документация о закупке в соответствии с требованиями, указанными в ч.1 ст.ЗЗ Закона,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п.З ч.З ст.66 Закона при заключении контракта на выполнение работы, для выполнения которой используется товар, заявка на участие в аукционе должна содержать в т.ч. конкретные показатели используемого товара, соответствующие значениям, установленным документацией об аукционе.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анализа приведенных норм следует, что устанавливая в документации о закупке требования к товарам, используемым при выполнении работ (минимальные значения, максимальные значения, значения, которые не могут изменяться, по которым в заявке должны быть указаны конкретные показатели), заказчик тем самым определяет перечень сведений о товаре, которые должны быть указаны в первой части заявки на участие в аукционе, т.е. содержание первой части заявки.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этом, Заказчик должен учитывать названный запрет на установление требований к содержанию заявок, ограничивающих круг участников, а также необходимость разработки инструкции, позволяющей заполнить первую часть заявки в соответствии с потребностями заказчика.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Соблюдение данных требований и запретов должно исключить возможность субъективного восприятия требований Заказчика участниками закупки и членами аукционной комиссии.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ч.б ст.66 Закона не допускается требовать от участников закупки документы и сведения, не предусмотренные ч.ч.З, 5 ст.66 Закона.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 2 ч.1 ст.64 Закона также предусматривает запрет на установление требований к содержанию заявок, которые ограничивают круг участников.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Данные требования направлены на достижение целей законодательства о контрактной системе: повышения эффективности, результативности осуществления закупок товаров, работ, услуг, обеспечения гласности и прозрачности осуществления закупок, предотвращения коррупции и других злоупотреблений в сфере закупок, а также соблюдение принципов на которых основывается контрактная система (открытости,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системы, ответственности за результативность обеспечения государственных и муниципальных нужд, эффективности осуществления закупок).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требования документации об аукционе к товарам, используемым при выполнении работ, с учетом целей и принципов контрактной системы, должны носить объективный характер, быть направленными на обеспечение обоснованной потребности заказчика, не выходить за рамки стандартных требований для таких товаров, не допускать ограничения круга участников закупки, в том числе по причине невозможности подтверждения их соответствия.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ч.4 ст.67 Закона участник электронного аукциона не допускается к участию в нем в случае:</w:t>
      </w:r>
    </w:p>
    <w:p>
      <w:pPr>
        <w:pStyle w:val="Style7"/>
        <w:numPr>
          <w:ilvl w:val="0"/>
          <w:numId w:val="7"/>
        </w:numPr>
        <w:tabs>
          <w:tab w:leader="none" w:pos="1219" w:val="left"/>
        </w:tabs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непредставления информации, предусмотренной ч.З ст.66 Закона или представления недостоверной информации;</w:t>
      </w:r>
    </w:p>
    <w:p>
      <w:pPr>
        <w:pStyle w:val="Style7"/>
        <w:numPr>
          <w:ilvl w:val="0"/>
          <w:numId w:val="7"/>
        </w:numPr>
        <w:tabs>
          <w:tab w:leader="none" w:pos="1081" w:val="left"/>
        </w:tabs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несоответствия информации, предусмотренной ч.З ст.66 Закона, требованиям документации об аукционе.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ч.5 ст.67 Закона отказ в допуске к участию в электронном аукционе по основаниям, не предусмотренным ч.4 ст.67 Закона, не допускается.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ч.4 ст.67 Закона, определяя порядок рассмотрения первых частей заявок на участие в аукционе, возлагает на аукционную комиссию обязанность по проверке соответствия предложенных участниками закупки в соответствии с п.З ч.З ст.66 Закона конкретных показателей товаров требованиям документации об аукционе.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случае несоответствия предложения участника аукциона, в части конкретных показателей предложенных товаров, требованиям документации, такому участнику аукционная комиссия отказывает в допуске к участию в аукционе, и как следствие, данный участник лишается возможности претендовать на заключение контракта, путем снижения начальной цены контракта в соответствии со ст.68 Закона.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п.3.2 на листах 5-6 документации об аукционе установлены требования к составу, содержанию первой части заявки на участие в аукционе.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Решением Верховного Суда Российской Федерации (ВС РФ) от</w:t>
      </w:r>
    </w:p>
    <w:p>
      <w:pPr>
        <w:pStyle w:val="Style7"/>
        <w:numPr>
          <w:ilvl w:val="0"/>
          <w:numId w:val="9"/>
        </w:numPr>
        <w:tabs>
          <w:tab w:leader="none" w:pos="1362" w:val="left"/>
        </w:tabs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№АКПИ16-1287 при установлении заказчиком в документации о закупке требований к товарам, описанию участниками закупки товаров необходимо учитывать, что нормы Закона не обязывают участника закупки: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0" w:firstLine="9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иметь в наличии товар в момент подачи заявки;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9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подробно описать в заявке, путем предоставления показателей, значений показателей (как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Как указано выше, Закон не допускает установление требований, влекущих за собой ограничение количества участников закупки или ограничение доступа к участию в закупке (ч.1 ст.ЗЗ, ч.1 ст.64 Закона).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Нарушение такого запрета, а именно установление заказчиком в документации не предусмотренных Законом требований к описанию участниками закупки товаров, ограничивает доступ к участию в закупке.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этой связи требования заказчика подробно описать в заявке, путем предоставления показателей, значений показателей (как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ограничивают доступ к участию в закупке, являются дополнительным препятствием для заполнения заявки в соответствии с требованиями документации в установленные сроки.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жалобе, требование Заказчика об указании в заявке отдельных показателей используемых товаров нарушает ч.1 ст.64 Закона, поскольку значения данных показателей определяются только по итогам испытаний готового товара.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Заказчиком ограничен доступ к участию в закупке.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качестве таких показателей в жалобе указаны:</w:t>
      </w:r>
    </w:p>
    <w:p>
      <w:pPr>
        <w:pStyle w:val="Style7"/>
        <w:numPr>
          <w:ilvl w:val="0"/>
          <w:numId w:val="11"/>
        </w:numPr>
        <w:tabs>
          <w:tab w:leader="none" w:pos="1046" w:val="left"/>
        </w:tabs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товару «битумы нефтяные»: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0" w:firstLine="9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глубина проникания иглы при 25 °С, 0,1 мм: 5-20;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0" w:firstLine="9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температура размягчения по кольцу и шару, °С: 90-105;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20" w:right="0" w:firstLine="9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растяжимость при 25 °С, не менее 1,0;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растворимость, %, не менее 99,50;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изменение массы после прогрева, %, не более 0,50;</w:t>
      </w:r>
    </w:p>
    <w:p>
      <w:pPr>
        <w:pStyle w:val="Style7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товару «гидрошпонка»: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твердость по Шор А, единицы Шор А: 70±5;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условная прочность при растяжении, Мпа (кг/см ), не менее 7,5 (75);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относительное удлинение при разрыве, %, не менее 200;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2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относительная остаточная деформация при статической деформации сжатия 20% в течение 24 часов при температуре 100 °С, не более 50;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2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изменение показателей после старения в воздухе в течение 24 часов при температуре 125 °С: твердость, единицы Шор А, в пределах ±15; условная прочность при растяжении, %, не менее 25; условное удлинение при разрыве, %, не менее 60;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2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стойкость к термосветоозонному старению при температуре 40 °С в течение 96 часов с объемной долей озона (5±0,5)х10° </w:t>
      </w:r>
      <w:r>
        <w:rPr>
          <w:rStyle w:val="CharStyle22"/>
        </w:rPr>
        <w:t>%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 статической деформации растяжения 20%: не допускаются трещины, видимые невооруженным глазом;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сопротивление раздиру, кгс/см, не менее 20;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2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измерение твердости после воздействия водного раствора хлористого натрия по ГОСТ 4233 с массовой долей 10% в течение 14 суток при температуре 70 °С, не более 3;</w:t>
      </w:r>
    </w:p>
    <w:p>
      <w:pPr>
        <w:pStyle w:val="Style7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товару «гидроизоляционный битумно-полимерный рулонный наплавляемый материал»: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2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разрывная сила при растяжении в продольном и поперечном направлении, Н, не менее 1000 и 900 соответственно;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водопоглощение в течение 24 ч, </w:t>
      </w:r>
      <w:r>
        <w:rPr>
          <w:rStyle w:val="CharStyle22"/>
        </w:rPr>
        <w:t>%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массе, не более 1;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температура гибкости на брусе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R=25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мм, °С, не выше -25;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2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водонепроницаемость при давлении не менее 0,2 Мпа, в течение 2х часов абсолютная;</w:t>
      </w:r>
    </w:p>
    <w:p>
      <w:pPr>
        <w:pStyle w:val="Style7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товару «клей»: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адгезия к бетонному основанию, не менее 0,5 МПа;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адгезия после выдерживания в воздушно-сухой среде, не менее 0,5 МПа;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адгезия после выдерживания в водной среде, не менее 0,5 МПа;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адгезия после циклического замораживания и оттаивания, не менее 0,5 МПа;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сползание плитки не более 0,7 мм.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«Инструкции по заполнению заявки на участие в аукционе» (далее - Инструкция) на листах 6-10 документации об аукционе: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2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участник закупки в первой части заявки на участие в аукционе указывает конкретные показатели предлагаемых к поставке товаров (материалов, оборудования), используемых в ходе выполнения работ, соответствующие требованиям к характеристикам и значениям показателей, предусмотренных в приложении 1 к документации об аукционе для определения соответствия потребностям заказчика и/или эквивалентности предлагаемого к использованию при выполнении работ материала, оборудования с учетом требований Инструкции и правил русского языка;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2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1"/>
        </w:rPr>
        <w:t>такие показатели отмечены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приложении 1 к документации об аукционе </w:t>
      </w:r>
      <w:r>
        <w:rPr>
          <w:rStyle w:val="CharStyle21"/>
        </w:rPr>
        <w:t>курсивным шрифтом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: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2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 этом, если установлены требования к показателям </w:t>
      </w:r>
      <w:r>
        <w:rPr>
          <w:rStyle w:val="CharStyle21"/>
        </w:rPr>
        <w:t>на рисунках или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1"/>
        </w:rPr>
        <w:t>чертежах,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то требования к курсивному шрифту не применяются и указываются </w:t>
      </w:r>
      <w:r>
        <w:rPr>
          <w:rStyle w:val="CharStyle21"/>
        </w:rPr>
        <w:t>все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1"/>
        </w:rPr>
        <w:t>установленные показатели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Перечисленные в жалобе требования к товарам: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содержатся на листах </w:t>
      </w:r>
      <w:r>
        <w:rPr>
          <w:rStyle w:val="CharStyle23"/>
        </w:rPr>
        <w:t>1,5,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10-11,30 приложения 1 к документации об аукционе;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 отмечены курсивным шрифтом;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8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приведены не «на рисунках или чертежах».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0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исходя из названных положений документации об аукционе, она не содержит требований об указании в первой части заявки показателей, соответствующих приведенным в жалобе требованиям к товарам.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06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единственный довод жалобы опровергается фактическим содержанием документации об аукционе.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77" w:line="306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Постановления Правительства РФ от 26.08.2013 г. №728, в соответствии со ст.ст.99, 106 Закона Комиссия Ростовского УФАС России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249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313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Заявителя необоснованной.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943" w:line="313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течение трех месяцев со дня его принятия.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84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691" w:left="736" w:right="815" w:bottom="66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7"/>
      <w:numFmt w:val="decimal"/>
      <w:lvlText w:val="01.1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2017"/>
      <w:numFmt w:val="decimal"/>
      <w:lvlText w:val="09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8"/>
    </w:rPr>
  </w:style>
  <w:style w:type="character" w:customStyle="1" w:styleId="CharStyle6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2) + 13 pt,Не полужирный"/>
    <w:basedOn w:val="CharStyle9"/>
    <w:rPr>
      <w:lang w:val="ru-RU" w:eastAsia="ru-RU" w:bidi="ru-RU"/>
      <w:b/>
      <w:bCs/>
      <w:sz w:val="26"/>
      <w:szCs w:val="26"/>
      <w:w w:val="100"/>
      <w:spacing w:val="0"/>
      <w:color w:val="000000"/>
      <w:position w:val="0"/>
    </w:rPr>
  </w:style>
  <w:style w:type="character" w:customStyle="1" w:styleId="CharStyle12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5">
    <w:name w:val="Основной текст (4)"/>
    <w:basedOn w:val="CharStyle1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 (5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8">
    <w:name w:val="Заголовок №2_"/>
    <w:basedOn w:val="DefaultParagraphFont"/>
    <w:link w:val="Style1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0">
    <w:name w:val="Заголовок №1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  <w:style w:type="character" w:customStyle="1" w:styleId="CharStyle21">
    <w:name w:val="Основной текст"/>
    <w:basedOn w:val="CharStyle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2">
    <w:name w:val="Основной текст + Курсив"/>
    <w:basedOn w:val="CharStyle8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3">
    <w:name w:val="Основной текст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5">
    <w:name w:val="Основной текст (6)_"/>
    <w:basedOn w:val="DefaultParagraphFont"/>
    <w:link w:val="Style24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jc w:val="center"/>
      <w:spacing w:line="22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8"/>
    </w:rPr>
  </w:style>
  <w:style w:type="paragraph" w:customStyle="1" w:styleId="Style5">
    <w:name w:val="Основной текст (2)"/>
    <w:basedOn w:val="Normal"/>
    <w:link w:val="CharStyle9"/>
    <w:pPr>
      <w:widowControl w:val="0"/>
      <w:shd w:val="clear" w:color="auto" w:fill="FFFFFF"/>
      <w:jc w:val="both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jc w:val="both"/>
      <w:spacing w:after="240" w:line="317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сновной текст (5)"/>
    <w:basedOn w:val="Normal"/>
    <w:link w:val="CharStyle16"/>
    <w:pPr>
      <w:widowControl w:val="0"/>
      <w:shd w:val="clear" w:color="auto" w:fill="FFFFFF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center"/>
      <w:spacing w:after="300" w:line="18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7">
    <w:name w:val="Заголовок №2"/>
    <w:basedOn w:val="Normal"/>
    <w:link w:val="CharStyle18"/>
    <w:pPr>
      <w:widowControl w:val="0"/>
      <w:shd w:val="clear" w:color="auto" w:fill="FFFFFF"/>
      <w:jc w:val="center"/>
      <w:outlineLvl w:val="1"/>
      <w:spacing w:after="3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FFFFFF"/>
      <w:jc w:val="right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  <w:style w:type="paragraph" w:customStyle="1" w:styleId="Style24">
    <w:name w:val="Основной текст (6)"/>
    <w:basedOn w:val="Normal"/>
    <w:link w:val="CharStyle25"/>
    <w:pPr>
      <w:widowControl w:val="0"/>
      <w:shd w:val="clear" w:color="auto" w:fill="FFFFFF"/>
      <w:jc w:val="center"/>
      <w:spacing w:before="240" w:after="3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