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5" w:after="2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9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9"/>
        <w:tabs>
          <w:tab w:leader="underscore" w:pos="4267" w:val="left"/>
        </w:tabs>
        <w:widowControl w:val="0"/>
        <w:keepNext w:val="0"/>
        <w:keepLines w:val="0"/>
        <w:shd w:val="clear" w:color="auto" w:fill="auto"/>
        <w:bidi w:val="0"/>
        <w:spacing w:before="0" w:after="265" w:line="200" w:lineRule="exact"/>
        <w:ind w:left="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</w:t>
        <w:tab/>
      </w:r>
    </w:p>
    <w:p>
      <w:pPr>
        <w:pStyle w:val="Style7"/>
        <w:tabs>
          <w:tab w:leader="none" w:pos="2478" w:val="right"/>
          <w:tab w:leader="underscore" w:pos="42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>от</w:t>
        <w:tab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«Перспектива»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Полевику Ю.Н.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Куйбышева, д. 79, оф. 64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Самара, 630112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Тел.89878914800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"mailto:pers-tender@mail.ru"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pers-tender@mail.ru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Индивидуальному предпринимателю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Евграфову Д.А.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Магистральная, д. 21,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Рубцовск, 658214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Тел.+ 7(983)603-2018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"mailto:da_evgrafov@mail.ru"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da_evgrafov@mail.ru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Администрации г. Барабинска Барабинского района Новосибирской области Овсянникову М. А. ул. Калинина, д. 3,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Барабинский р-н,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37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Новосибирская область, 633623 Тел./Факс: 8 (38361) 22-155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"mailto:a.Barabinska@mail.ru"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a.Barabinska@mail.ru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41" w:left="934" w:right="1067" w:bottom="470" w:header="0" w:footer="3" w:gutter="0"/>
          <w:rtlGutter w:val="0"/>
          <w:cols w:num="2" w:space="311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РТС-тендер 8 (800) 77-55-800 </w:t>
      </w:r>
      <w:r>
        <w:fldChar w:fldCharType="begin"/>
      </w:r>
      <w:r>
        <w:rPr>
          <w:color w:val="000000"/>
        </w:rPr>
        <w:instrText> HYPERLINK "mailto:info@rts-tender.ru"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20" w:after="12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0" w:line="220" w:lineRule="exact"/>
        <w:ind w:left="35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08-01-486</w:t>
      </w:r>
      <w:bookmarkEnd w:id="1"/>
    </w:p>
    <w:p>
      <w:pPr>
        <w:pStyle w:val="Style11"/>
        <w:tabs>
          <w:tab w:leader="none" w:pos="7254" w:val="right"/>
          <w:tab w:leader="none" w:pos="74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9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9 ноября 2017 года</w:t>
        <w:tab/>
        <w:t>г.</w:t>
        <w:tab/>
        <w:t>Новосибирск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 ФАС России) в составе:</w:t>
      </w:r>
    </w:p>
    <w:p>
      <w:pPr>
        <w:pStyle w:val="Style11"/>
        <w:tabs>
          <w:tab w:leader="none" w:pos="26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3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Швалов А.Г.</w:t>
        <w:tab/>
        <w:t>- зам. руководителя управления, председатель Комиссии;</w:t>
      </w:r>
    </w:p>
    <w:p>
      <w:pPr>
        <w:pStyle w:val="Style11"/>
        <w:tabs>
          <w:tab w:leader="none" w:pos="26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Студеникин Д.Е.</w:t>
        <w:tab/>
        <w:t>- главный специалист-эксперт отдела контроля закупок, член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Комиссии;</w:t>
      </w:r>
    </w:p>
    <w:p>
      <w:pPr>
        <w:pStyle w:val="Style11"/>
        <w:tabs>
          <w:tab w:leader="none" w:pos="26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Можейкин М.А.</w:t>
        <w:tab/>
        <w:t>- специалист-эксперт отдела контроля закупок, член Комиссии;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560"/>
      </w:pPr>
      <w:r>
        <w:rPr>
          <w:rStyle w:val="CharStyle15"/>
        </w:rPr>
        <w:t>в отсутствие представителей подателя жалобы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ООО «Перспетива», уведомлено надлежащим образом;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560"/>
      </w:pPr>
      <w:r>
        <w:rPr>
          <w:rStyle w:val="CharStyle15"/>
        </w:rPr>
        <w:t>в отсутствие представителей подателя жалобы 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ИП Евграфова Д.А., уведомлен надлежащим образом;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683" w:line="274" w:lineRule="exact"/>
        <w:ind w:left="0" w:right="20" w:firstLine="560"/>
      </w:pPr>
      <w:r>
        <w:rPr>
          <w:rStyle w:val="CharStyle15"/>
        </w:rPr>
        <w:t>в отсутствие представителей заказчика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администрации города Барабинска Барабинского района Новосибирской области: уведомлена надлежащим образом;</w:t>
      </w:r>
    </w:p>
    <w:p>
      <w:pPr>
        <w:pStyle w:val="Style16"/>
        <w:widowControl w:val="0"/>
        <w:keepNext/>
        <w:keepLines/>
        <w:shd w:val="clear" w:color="auto" w:fill="auto"/>
        <w:bidi w:val="0"/>
        <w:jc w:val="left"/>
        <w:spacing w:before="0" w:after="0" w:line="320" w:lineRule="exact"/>
        <w:ind w:left="6720" w:right="0" w:firstLine="0"/>
      </w:pPr>
      <w:bookmarkStart w:id="2" w:name="bookmark2"/>
      <w:r>
        <w:rPr>
          <w:rStyle w:val="CharStyle18"/>
        </w:rPr>
        <w:t xml:space="preserve">№ </w:t>
      </w:r>
      <w:r>
        <w:rPr>
          <w:lang w:val="ru-RU" w:eastAsia="ru-RU" w:bidi="ru-RU"/>
          <w:w w:val="100"/>
          <w:color w:val="000000"/>
          <w:position w:val="0"/>
        </w:rPr>
        <w:t>159748</w:t>
      </w:r>
      <w:bookmarkEnd w:id="2"/>
    </w:p>
    <w:p>
      <w:pPr>
        <w:pStyle w:val="Style11"/>
        <w:tabs>
          <w:tab w:leader="none" w:pos="7172" w:val="right"/>
          <w:tab w:leader="none" w:pos="74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жалобы ООО «Перспектива», ИП Евграфова Д.А. на действия заказчика — администрации города Барабинска Барабинского района Новосибирской области при проведении электронного аукциона №</w:t>
        <w:tab/>
        <w:t>0151300031317000020</w:t>
        <w:tab/>
        <w:t>на строительство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водозаборной скважины с модульной установкой водоподготовки по ул. К.Маркса г. Барабинска Новосибирской области, размещен в ЕИС 17.10.2017г., начальная (максимальная) цена контракта 18547500,00 рублей,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Новосибирское У ФАС России обратились ООО «Перспектива», ИП Евграфов Д.А. с жалобами на действия заказчика - администрации города Барабинска Барабинского района Новосибирской области при проведении электронного аукциона № 0151300031317000020 на строительство водозаборной скважины с модульной установкой водоподготовки по ул. К.Маркса г. Барабинска Новосибирской области.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Суть жалобы ООО «Перспектива» заключается в следующем.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проекте контракта установлена ответственность в части неустойки в соответствии с Постановлением Правительства РФ от 30.08.2017 № 1042, однако установлена на общих основаниях по п. 3, а не по п. 4 как для субъектов малого предпринимательства и социально ориентированных некоммерческих организаций.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проект контракта составлен без учета ч. 7 ст. 96 ФЗ № 44-ФЗ, а именно, п. 8.5 проекта контракта не предусматривает возможности замены обеспечения по контракту, уменьшенного пропорционально на объем выполненных работ.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Суть жалобы ИП Евграфова Д.А. заключаются в нижеследующем.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Податель жалобы полагает, что в ведомости объемов работ описания объекта закупки заказчик установил требование о выполнении подрядчиком ряда работ самостоятельно без привлечения других лиц к исполнению своих обязательств по контракту в соответствии с Постановлением Правительства РФ от 15.05.2017г. № 570, однако перечень возможных видов и объемов работ не является полным, поскольку заказчиком не были учтены работы по устройству фундаментов и монтажу технологического оборудования. Тем самым, не установив в положениях документации об электронном аукционе возможность выбрать участнику закупки в качестве работ, исполняемых без привлечения к исполнению 3-их лиц, работы, предусмотренные Перечнем, заказчик существенно ограничил права участников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описании объекта закупки установлены требования к товарам (материалам), характеристики которых не предусмотрены действующими в этой части стандартами. Согласно ГОСТ 8267-93 щебень и гравий выпускают в виде следующих фракций от 5(3): 10 до 10 мм; св. 10 до 15 мм; св. 10 до 20 мм; св. 15 до 20 мм; св. 20 до 40 мм; св. 40 до 80(70) мм и смеси фракций от 5(3) до 20 мм. Фракции щебня 20-40 мм и 40- 70 мм не предусмотрены действующим настоящим стандартом, соответствие которому требует заказчик.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жалобы ООО «Перспектива» и ИП Евграфова Д.А от заказчика - администрации города Барабинска Барабинского района Новосибирской области поступили следующие возражения.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г. Барабинска Барабинского района Новосибирской области признает факт установления ею в проекте контракта ответственности не по надлежащему пункту Постановления Правительства РФ № 1042.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Заявленный ООО «Перспектива» довод в части предоставления участникам возможности для внесения обеспечения, уменьшенного на размер выполненных обязательств заказчик считает необоснованным, так как настоящее право заказчик предоставил в п. 8.3 контракта, п. 8.5 регулирует иные отношения.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сути доводов ИП Евграфова Д.А. до заседания Комиссии Новосибирского У ФАС России заказчиком возражений представлено не было.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Настоящий электронный аукцион проводится для субъектов малого предпринимательства и социально ориентированных некоммерческих организаций.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Размер ответственности подрядчика, установленный в соответствии с п. 3 Постановления Правительства РФ от 30 августа 2017 г. № 1042, применим в отношении подрядчиков, принимающих участие в закупке на общих основаниях. Вместе с тем, установленное в документации ограничение обязывает заказчика руководствоваться п. 4 данного Постановления Правительства РФ, согласно которому устанавливается специальный размер ответственности в соответствии с п. 1 ч. 1 ст. 30 ФЗ № 44-ФЗ. Заказчик нарушил ч. 4 ст. 34 ФЗ № 44-ФЗ тем, что установил в проекте контракта размер ответственности не для субъектов малого предпринимательства и социально ориентированных некоммерческих организаций в соответствии с пп. в) п. 4 Постановления Правительства РФ № 1042, а на общих основаниях.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Заявленный ООО «Перспектива» довод в части наличия условия о возможности предоставления обеспечения исполнения контракта, уменьшенного на размер выполненных обязательств, взамен ранее предоставленного обеспечения, не находит подтверждения, так как такое условие содержится в п. 8.3 проекта контракта, что соответствует требованиям ФЗ № 44-ФЗ.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Новосибирского УФАС России было установлено, что указав в описании объекта закупки работы по монтажу насоса и устройству фундаментов, заказчик, в нарушение требований Постановления Правительства РФ от 15.05.2017г. № 570 не включил указанные работы в перечень работ, которые подрядчик обязан выполнить самостоятельно. Согласно Постановлению Правительства РФ № 570 виды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муниципального контракта включают в себя в том числе: п. 6 - устройство фундаментов и оснований; п. 17 - монтаж технологического оборудования. Заказчик не предоставил возможности подрядчику выбрать указанные работы для выполнения самостоятельно, в связи с чем, Комиссия Новосибирского УФАС России считает заказчика нарушившим ч. 5 ст. 33 ФЗ № 44-ФЗ.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Новосибирского УФАС России установлено, что действительно, ГОСТ 8267-93 «Щебень и гравий из плотных горных пород для строительных работ. Технические условия» определено, что щебень и гравий выпускаются только в виде следующих фракций: от 5(3): 10 до 10 мм; св. 10 до 15 мм; св. 10 до 20 мм; св. 15 до 20 мм; св. 20 до 40 мм; св. 40 до 80(70) мм и смеси фракций от 5(3) до 20 мм. Перечень товаров (материалов) содержит требование к поставке щебня фракций 5-10, 20-40, 40-70. Комиссия Новосибирского УФАС России считает, что заказчиком установлено требование в п. 31 Перечня товаров (материалов), идущее в противоречие с требуемым ГОСТ, а именно, заказчиком была применена нестандартная терминология при формулировании требований к поставляемым товарам (материалам) в части наименования фракций, без обоснования применения этой терминологии. В связи с чем, заказчик нарушил п. 2 ч. 1 ст. 33 ФЗ № 44-ФЗ.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п. 1 ч. 15 ст. 99 ФЗ № 44-ФЗ данного электронного аукциона выявлены следующие нарушения законодательства о контрактной системе в сфере закупок.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установил требования к участникам в соответствии с п.п. 7 и 7.1 ч. 1 ст. 31 в действующей редакции ФЗ № 44-ФЗ. А именно, не установил требования об отсутствии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дисквалификации, а также, что 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установив требования к участникам в соответствии с актуальной редакцией ФЗ № 44-ФЗ, заказчик неправомерно затребовал декларацию в соответствии с пп. 1-6 п. 14 документации об электронном аукционе. Во-первых, заказчик сослался на п. 14 аукционной документации, в котором конкретизируются преимущества, предоставляемые в соответствии со ст. 28-30 ФЗ № 44-ФЗ, а не требования к участникам. Во-вторых, требование, предъявленное к участникам в пп. 4 п. 13 документации об электронном аукционе, не соответствует требованиям действующего законодательства, требование согласно п. 7.1 ч. 1 ст. 31 ФЗ № 44-ФЗ в составе требований к участнику отсутствует. Не установив единые требования к участникам закупки, заказчик нарушил ч. 1 ст. 31 ФЗ № 44-ФЗ. В-третьих, заказчик затребовал во второй части заявки декларацию о непринадлежности участника к офшорным компаниям, чем нарушил п. 2 ч. 5 ст. 66 ФЗ № 44-ФЗ, поскольку эти данные относятся к категории аккредитационных данных, подтверждение достоверности которых не является обязанностью участника.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отсутствия описанных требований к участникам, заказчик в составе второй части заявки объективно не мог затребовать декларацию о соответствии этим пунктам, чем также нарушил п. 2 ч. 5 ст. 66 ФЗ № 44-ФЗ.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Информация об объекте закупки заказчиком была указана недостоверная, поскольку коду по ОКПД2 43.99.90.190 соответствуют работы строительные специализированные прочие, не включенные в другие группировки. Виды работ, предусмотренные описанием объекта закупки заказчика - строительство водозаборной скважины с модульной установкой водоподготовки, соответствуют коду 42.21.24 - работы по бурению водных скважин и монтажу септических систем. Заказчик, разместив недостоверные сведения о коде ОКПД2 в ЕИС, нарушил ч. 3 ст. 7 ФЗ № 44-ФЗ.</w:t>
      </w:r>
    </w:p>
    <w:p>
      <w:pPr>
        <w:pStyle w:val="Style11"/>
        <w:tabs>
          <w:tab w:leader="none" w:pos="6214" w:val="right"/>
          <w:tab w:leader="none" w:pos="6366" w:val="left"/>
          <w:tab w:leader="none" w:pos="789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составе второй части заявок затребовал документы, свидетельствующие о наличии опыта исполнения одного контракта на выполнение работ, являющихся объектом настоящей закупки. Вместе</w:t>
        <w:tab/>
        <w:t>с тем, соответствующие</w:t>
        <w:tab/>
        <w:t>требования к</w:t>
        <w:tab/>
        <w:t>участникам в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документации об электронном аукционе предъявлены не были. Заказчиком нарушен п. 3 ч. 2 ст. 31 Ф3№ 44-ФЗ.</w:t>
      </w:r>
    </w:p>
    <w:p>
      <w:pPr>
        <w:pStyle w:val="Style11"/>
        <w:tabs>
          <w:tab w:leader="none" w:pos="6281" w:val="left"/>
          <w:tab w:leader="none" w:pos="93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заказчиком был нарушен порядок</w:t>
        <w:tab/>
        <w:t>предоставления</w:t>
        <w:tab/>
        <w:t>разъяснений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документации об электронном аукционе, ее положений и внесении в нее изменений, а именно, заказчик не установил срок начала предоставления разъяснений, чем нарушил п. 11 ч. 1 ст. 64 ФЗ № 44-ФЗ.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ч. 8 ст. 106, п. 1 ч. 15, п. 2 ч. 22 ст. 99 ФЗ № 44-ФЗ, Комиссия Новосибирского УФАС России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1"/>
        <w:tabs>
          <w:tab w:leader="none" w:pos="6214" w:val="right"/>
          <w:tab w:leader="none" w:pos="6356" w:val="left"/>
          <w:tab w:leader="none" w:pos="93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Признать жалобу ООО «Перспектива» на действия заказчика - администрации города Барабинска Барабинского района Новосибирской области при проведении электронного аукциона №</w:t>
        <w:tab/>
        <w:t>0151300031317000020 на</w:t>
        <w:tab/>
        <w:t>строительство</w:t>
        <w:tab/>
        <w:t>водозаборной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скважины с модульной установкой водоподготовки по ул. К.Маркса г. Барабинска Новосибирской области частично обоснованной (обоснован первый довод).</w:t>
      </w:r>
    </w:p>
    <w:p>
      <w:pPr>
        <w:pStyle w:val="Style11"/>
        <w:numPr>
          <w:ilvl w:val="0"/>
          <w:numId w:val="1"/>
        </w:numPr>
        <w:tabs>
          <w:tab w:leader="none" w:pos="6352" w:val="left"/>
          <w:tab w:leader="none" w:pos="6270" w:val="left"/>
          <w:tab w:leader="none" w:pos="9394" w:val="right"/>
          <w:tab w:leader="none" w:pos="116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ИП Евграфова Д.А. на действия заказчика - администрации города Барабинска Барабинского района Новосибирской области при проведении электронного аукциона №</w:t>
        <w:tab/>
        <w:t>0151300031317000020 на</w:t>
        <w:tab/>
        <w:t>строительство</w:t>
        <w:tab/>
        <w:t>водозаборной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скважины с модульной установкой водоподготовки по ул. К.Маркса г. Барабинска Новосибирской области обоснованной.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нарушившим ч. 3 ст. 7; ч. 1, п. 3 ч. 2 ст. 31; п. 2 ч. 1, ч. 5 ст. 33; ч. 4 ст. 34; п. 2, п. 11 ч. 1 ст. 64; п. 2 ч. 5 ст. 66 ФЗ № 44-ФЗ.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предписание заказчику и аукционной комиссии заказчика об устранении нарушений законодательства о контрактной системе в сфере закупок.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7" w:line="274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826"/>
        <w:ind w:left="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в течение трех месяцев со дня его вынесения.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846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496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  <w:r>
        <w:br w:type="page"/>
      </w:r>
    </w:p>
    <w:sectPr>
      <w:type w:val="continuous"/>
      <w:pgSz w:w="11906" w:h="16838"/>
      <w:pgMar w:top="820" w:left="948" w:right="948" w:bottom="849" w:header="0" w:footer="3" w:gutter="562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Заголовок №2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Заголовок №2 (2)_"/>
    <w:basedOn w:val="DefaultParagraphFont"/>
    <w:link w:val="Style1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Основной текст + Полужирный,Курсив"/>
    <w:basedOn w:val="CharStyle12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character" w:customStyle="1" w:styleId="CharStyle18">
    <w:name w:val="Заголовок №1 + Tahoma,13 pt,Интервал 0 pt"/>
    <w:basedOn w:val="CharStyle17"/>
    <w:rPr>
      <w:lang w:val="ru-RU" w:eastAsia="ru-RU" w:bidi="ru-RU"/>
      <w:sz w:val="26"/>
      <w:szCs w:val="26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1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Основной текст (6)_"/>
    <w:basedOn w:val="DefaultParagraphFont"/>
    <w:link w:val="Style21"/>
    <w:rPr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4">
    <w:name w:val="Основной текст (7)_"/>
    <w:basedOn w:val="DefaultParagraphFont"/>
    <w:link w:val="Style23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60" w:line="245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jc w:val="center"/>
      <w:outlineLvl w:val="1"/>
      <w:spacing w:before="60" w:line="28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after="300"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both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Заголовок №2 (2)"/>
    <w:basedOn w:val="Normal"/>
    <w:link w:val="CharStyle14"/>
    <w:pPr>
      <w:widowControl w:val="0"/>
      <w:shd w:val="clear" w:color="auto" w:fill="FFFFFF"/>
      <w:outlineLvl w:val="1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outlineLvl w:val="0"/>
      <w:spacing w:before="720"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spacing w:line="274" w:lineRule="exact"/>
    </w:pPr>
    <w:rPr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jc w:val="both"/>
      <w:spacing w:before="240" w:after="780" w:line="277" w:lineRule="exact"/>
      <w:ind w:firstLine="58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