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914" w:left="2675" w:right="8128" w:bottom="933" w:header="0" w:footer="3" w:gutter="0"/>
          <w:rtlGutter w:val="0"/>
          <w:cols w:space="720"/>
          <w:noEndnote/>
          <w:docGrid w:linePitch="360"/>
        </w:sectPr>
      </w:pPr>
    </w:p>
    <w:p>
      <w:pPr>
        <w:widowControl w:val="0"/>
        <w:spacing w:line="113"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76"/>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060" w:firstLine="0"/>
      </w:pPr>
      <w:r>
        <w:rPr>
          <w:lang w:val="ru-RU" w:eastAsia="ru-RU" w:bidi="ru-RU"/>
          <w:w w:val="100"/>
          <w:spacing w:val="0"/>
          <w:color w:val="000000"/>
          <w:position w:val="0"/>
        </w:rPr>
        <w:t>10.11.2017 №06/12873 На № б/н от 01.11.2017</w:t>
      </w:r>
    </w:p>
    <w:p>
      <w:pPr>
        <w:pStyle w:val="Style7"/>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22" w:lineRule="exact"/>
        <w:ind w:left="20" w:right="20" w:firstLine="0"/>
      </w:pPr>
      <w:r>
        <w:rPr>
          <w:lang w:val="ru-RU" w:eastAsia="ru-RU" w:bidi="ru-RU"/>
          <w:w w:val="100"/>
          <w:spacing w:val="0"/>
          <w:color w:val="000000"/>
          <w:position w:val="0"/>
        </w:rPr>
        <w:t>Федеральное государственное бюджетное учреждение «Военный санаторий «Крым» Министерства обороны Российской Федерации</w:t>
      </w:r>
    </w:p>
    <w:p>
      <w:pPr>
        <w:pStyle w:val="Style7"/>
        <w:widowControl w:val="0"/>
        <w:keepNext w:val="0"/>
        <w:keepLines w:val="0"/>
        <w:shd w:val="clear" w:color="auto" w:fill="auto"/>
        <w:bidi w:val="0"/>
        <w:jc w:val="left"/>
        <w:spacing w:before="0" w:after="304" w:line="322" w:lineRule="exact"/>
        <w:ind w:left="20" w:right="20" w:firstLine="0"/>
      </w:pPr>
      <w:r>
        <w:rPr>
          <w:lang w:val="ru-RU" w:eastAsia="ru-RU" w:bidi="ru-RU"/>
          <w:w w:val="100"/>
          <w:spacing w:val="0"/>
          <w:color w:val="000000"/>
          <w:position w:val="0"/>
        </w:rPr>
        <w:t>298542, Республика Крым, г. Алушта, пгт. Партенит, ул. Санаторная,1</w:t>
      </w:r>
    </w:p>
    <w:p>
      <w:pPr>
        <w:pStyle w:val="Style7"/>
        <w:numPr>
          <w:ilvl w:val="0"/>
          <w:numId w:val="1"/>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ИП Дубровских И. А.</w:t>
      </w:r>
    </w:p>
    <w:p>
      <w:pPr>
        <w:pStyle w:val="Style7"/>
        <w:widowControl w:val="0"/>
        <w:keepNext w:val="0"/>
        <w:keepLines w:val="0"/>
        <w:shd w:val="clear" w:color="auto" w:fill="auto"/>
        <w:bidi w:val="0"/>
        <w:jc w:val="left"/>
        <w:spacing w:before="0" w:after="0" w:line="317" w:lineRule="exact"/>
        <w:ind w:left="20" w:right="20" w:firstLine="0"/>
        <w:sectPr>
          <w:type w:val="continuous"/>
          <w:pgSz w:w="11906" w:h="16838"/>
          <w:pgMar w:top="914" w:left="837" w:right="1034" w:bottom="933" w:header="0" w:footer="3" w:gutter="0"/>
          <w:rtlGutter w:val="0"/>
          <w:cols w:num="2" w:space="102"/>
          <w:noEndnote/>
          <w:docGrid w:linePitch="360"/>
        </w:sectPr>
      </w:pPr>
      <w:r>
        <w:rPr>
          <w:lang w:val="ru-RU" w:eastAsia="ru-RU" w:bidi="ru-RU"/>
          <w:w w:val="100"/>
          <w:spacing w:val="0"/>
          <w:color w:val="000000"/>
          <w:position w:val="0"/>
        </w:rPr>
        <w:t>299040, г. Севастополь, ул. М. Геловани, д. 4, кв. 41</w:t>
      </w: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ind w:left="0" w:right="0" w:firstLine="0"/>
        <w:sectPr>
          <w:type w:val="continuous"/>
          <w:pgSz w:w="11906" w:h="16838"/>
          <w:pgMar w:top="914" w:left="2531" w:right="2171" w:bottom="933" w:header="0" w:footer="3" w:gutter="0"/>
          <w:rtlGutter w:val="0"/>
          <w:cols w:space="720"/>
          <w:noEndnote/>
          <w:docGrid w:linePitch="360"/>
        </w:sectPr>
      </w:pPr>
      <w:r>
        <w:rPr>
          <w:lang w:val="ru-RU" w:eastAsia="ru-RU" w:bidi="ru-RU"/>
          <w:w w:val="100"/>
          <w:spacing w:val="0"/>
          <w:color w:val="000000"/>
          <w:position w:val="0"/>
        </w:rPr>
        <w:t>Решение по делу №06/4171-17 о нарушении законодательства Российской Федерации о контрактной системе в сфере закупок</w:t>
      </w:r>
    </w:p>
    <w:p>
      <w:pPr>
        <w:widowControl w:val="0"/>
        <w:spacing w:before="20" w:after="2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40" w:wrap="around" w:vAnchor="text" w:hAnchor="margin" w:x="172" w:y="6"/>
        <w:widowControl w:val="0"/>
        <w:keepNext w:val="0"/>
        <w:keepLines w:val="0"/>
        <w:shd w:val="clear" w:color="auto" w:fill="auto"/>
        <w:bidi w:val="0"/>
        <w:jc w:val="left"/>
        <w:spacing w:before="0" w:after="0" w:line="240" w:lineRule="exact"/>
        <w:ind w:left="100" w:right="0" w:firstLine="0"/>
      </w:pPr>
      <w:r>
        <w:rPr>
          <w:rStyle w:val="CharStyle11"/>
          <w:spacing w:val="0"/>
        </w:rPr>
        <w:t>08.11.2017</w:t>
      </w:r>
    </w:p>
    <w:p>
      <w:pPr>
        <w:pStyle w:val="Style7"/>
        <w:widowControl w:val="0"/>
        <w:keepNext w:val="0"/>
        <w:keepLines w:val="0"/>
        <w:shd w:val="clear" w:color="auto" w:fill="auto"/>
        <w:bidi w:val="0"/>
        <w:jc w:val="right"/>
        <w:spacing w:before="0" w:after="188" w:line="260" w:lineRule="exact"/>
        <w:ind w:left="0" w:right="2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left"/>
        <w:spacing w:before="0" w:after="0" w:line="322" w:lineRule="exact"/>
        <w:ind w:left="20" w:right="36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членов Комиссии:</w:t>
      </w:r>
    </w:p>
    <w:p>
      <w:pPr>
        <w:pStyle w:val="Style7"/>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w:t>
      </w:r>
    </w:p>
    <w:p>
      <w:pPr>
        <w:pStyle w:val="Style7"/>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специалиста-эксперта отдела контроля рекламы и органов власти Крымского УФАС России Н. А. Баданина,</w:t>
      </w:r>
    </w:p>
    <w:p>
      <w:pPr>
        <w:pStyle w:val="Style7"/>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при участии представителей интересов Заказчика А. П. Чумаченко (по доверенности), Д. Е. Шашанова (по доверенности),</w:t>
      </w:r>
    </w:p>
    <w:p>
      <w:pPr>
        <w:pStyle w:val="Style7"/>
        <w:widowControl w:val="0"/>
        <w:keepNext w:val="0"/>
        <w:keepLines w:val="0"/>
        <w:shd w:val="clear" w:color="auto" w:fill="auto"/>
        <w:bidi w:val="0"/>
        <w:jc w:val="both"/>
        <w:spacing w:before="0" w:after="229" w:line="322" w:lineRule="exact"/>
        <w:ind w:left="20" w:right="20" w:firstLine="860"/>
      </w:pPr>
      <w:r>
        <w:rPr>
          <w:lang w:val="ru-RU" w:eastAsia="ru-RU" w:bidi="ru-RU"/>
          <w:w w:val="100"/>
          <w:spacing w:val="0"/>
          <w:color w:val="000000"/>
          <w:position w:val="0"/>
        </w:rPr>
        <w:t>представители Заявителя на заседание Комиссии не явились, - рассмотрев жалобу Заявителя от 01.11.2017 б/н (вх. №1458/10 от 01.11.2017) на действия Заказчика при проведении открытого конкурса «Услуги по уборке и обслуживанию территории ФГБУ "Военный санаторий "Крым" Минобороны России» (извещение № 0375100002917000243) (далее - Конкурс), в соответствии со статьей 106 Федерального закона от 05.04.2013 №44-ФЗ «О контрактной системе в</w:t>
        <w:br w:type="page"/>
        <w:t>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Конкурса.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следующими действиями Заказчика:</w:t>
      </w:r>
    </w:p>
    <w:p>
      <w:pPr>
        <w:pStyle w:val="Style7"/>
        <w:numPr>
          <w:ilvl w:val="0"/>
          <w:numId w:val="3"/>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Заказчиком неправильно выбран способ закупки.</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 в Конкурсной документации неправомерно установлено требование о предоставлении документов, подтверждающих наличие сотрудников в штате, образование и квалификацию сотрудников участника.</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Заказчиком установлены разные даты и время окончания подачи заявок на участие в Конкурсе и вскрытия конвертов с заявками участников Конкурса.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01.11.2017 №06/12524, направленное Заявителю, Заказчику и размещенное на официальном сайте Единой информационной системы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Заседание Комиссии по рассмотрению жалобы назначено на 14:20 07.11.2017. На основании пункта 3.32 Административного регламента от 19.11.2014 №727/14 по собственной инициативе Комиссии для выяснения обстоятельств, имеющих значение для принятия решения, в заседании Комиссии объявлен перерыв до 16:25</w:t>
      </w:r>
    </w:p>
    <w:p>
      <w:pPr>
        <w:pStyle w:val="Style7"/>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08.11.2017.</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ходе заседания Комиссии представители Заказчика не согласились с доводами жалобы Заявителя и сообщили, что при проведении Конкурса Заказчик руководствовался требованиями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результате рассмотрения жалобы и проведения внеплановой проверки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извещение об осуществлении закупки размещено на официальном сайте -</w:t>
      </w:r>
    </w:p>
    <w:p>
      <w:pPr>
        <w:pStyle w:val="Style7"/>
        <w:numPr>
          <w:ilvl w:val="0"/>
          <w:numId w:val="5"/>
        </w:numPr>
        <w:tabs>
          <w:tab w:leader="none" w:pos="1446"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изменения - 04.11.2017;</w:t>
      </w:r>
    </w:p>
    <w:p>
      <w:pPr>
        <w:pStyle w:val="Style7"/>
        <w:numPr>
          <w:ilvl w:val="0"/>
          <w:numId w:val="7"/>
        </w:numPr>
        <w:widowControl w:val="0"/>
        <w:keepNext w:val="0"/>
        <w:keepLines w:val="0"/>
        <w:shd w:val="clear" w:color="auto" w:fill="auto"/>
        <w:bidi w:val="0"/>
        <w:jc w:val="both"/>
        <w:spacing w:before="0" w:after="0" w:line="322" w:lineRule="exact"/>
        <w:ind w:left="20" w:right="160" w:firstLine="860"/>
      </w:pPr>
      <w:r>
        <w:rPr>
          <w:lang w:val="ru-RU" w:eastAsia="ru-RU" w:bidi="ru-RU"/>
          <w:w w:val="100"/>
          <w:spacing w:val="0"/>
          <w:color w:val="000000"/>
          <w:position w:val="0"/>
        </w:rPr>
        <w:t xml:space="preserve"> способ определения поставщика (подрядчика, исполнителя) - открытый конкурс;</w:t>
      </w:r>
    </w:p>
    <w:p>
      <w:pPr>
        <w:pStyle w:val="Style7"/>
        <w:numPr>
          <w:ilvl w:val="0"/>
          <w:numId w:val="7"/>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- 57 475 540,52 рублей;</w:t>
      </w:r>
    </w:p>
    <w:p>
      <w:pPr>
        <w:pStyle w:val="Style7"/>
        <w:numPr>
          <w:ilvl w:val="0"/>
          <w:numId w:val="7"/>
        </w:numPr>
        <w:widowControl w:val="0"/>
        <w:keepNext w:val="0"/>
        <w:keepLines w:val="0"/>
        <w:shd w:val="clear" w:color="auto" w:fill="auto"/>
        <w:bidi w:val="0"/>
        <w:jc w:val="both"/>
        <w:spacing w:before="0" w:after="60" w:line="322" w:lineRule="exact"/>
        <w:ind w:left="20" w:right="160" w:firstLine="860"/>
      </w:pPr>
      <w:r>
        <w:rPr>
          <w:lang w:val="ru-RU" w:eastAsia="ru-RU" w:bidi="ru-RU"/>
          <w:w w:val="100"/>
          <w:spacing w:val="0"/>
          <w:color w:val="000000"/>
          <w:position w:val="0"/>
        </w:rPr>
        <w:t xml:space="preserve"> дата и время окончания подачи заявок: 09.11.2017 12:00, дата и время вскрытия конвертов с заявками и (или) открытия доступа к поданным в форме электронных документов заявкам: 13.11.2017 09:00, дата рассмотрения и оценки заявок на участие в конкурсе15.11.2017.</w:t>
      </w:r>
    </w:p>
    <w:p>
      <w:pPr>
        <w:pStyle w:val="Style7"/>
        <w:numPr>
          <w:ilvl w:val="0"/>
          <w:numId w:val="9"/>
        </w:numPr>
        <w:tabs>
          <w:tab w:leader="none" w:pos="1230" w:val="left"/>
        </w:tabs>
        <w:widowControl w:val="0"/>
        <w:keepNext w:val="0"/>
        <w:keepLines w:val="0"/>
        <w:shd w:val="clear" w:color="auto" w:fill="auto"/>
        <w:bidi w:val="0"/>
        <w:jc w:val="both"/>
        <w:spacing w:before="0" w:after="0" w:line="322" w:lineRule="exact"/>
        <w:ind w:left="20" w:right="160" w:firstLine="860"/>
      </w:pPr>
      <w:r>
        <w:rPr>
          <w:lang w:val="ru-RU" w:eastAsia="ru-RU" w:bidi="ru-RU"/>
          <w:w w:val="100"/>
          <w:spacing w:val="0"/>
          <w:color w:val="000000"/>
          <w:position w:val="0"/>
        </w:rPr>
        <w:t>В качестве довода жалобы Заявитель указывает на то, что Заказчиком неправильно выбран способ закупки, а именно путем проведения конкурса вместо электронного аукциона.</w:t>
      </w:r>
    </w:p>
    <w:p>
      <w:pPr>
        <w:pStyle w:val="Style7"/>
        <w:widowControl w:val="0"/>
        <w:keepNext w:val="0"/>
        <w:keepLines w:val="0"/>
        <w:shd w:val="clear" w:color="auto" w:fill="auto"/>
        <w:bidi w:val="0"/>
        <w:jc w:val="both"/>
        <w:spacing w:before="0" w:after="0" w:line="322" w:lineRule="exact"/>
        <w:ind w:left="20" w:right="160" w:firstLine="860"/>
      </w:pPr>
      <w:r>
        <w:rPr>
          <w:lang w:val="ru-RU" w:eastAsia="ru-RU" w:bidi="ru-RU"/>
          <w:w w:val="100"/>
          <w:spacing w:val="0"/>
          <w:color w:val="000000"/>
          <w:position w:val="0"/>
        </w:rPr>
        <w:t>В соответствии с частью 2 статьи 48 Закона о контрактной системе заказчик во всех случаях осуществляет закупку путем проведения открытого конкурса, за исключением случаев, предусмотренных статьями 56,</w:t>
      </w:r>
      <w:r>
        <w:fldChar w:fldCharType="begin"/>
      </w:r>
      <w:r>
        <w:rPr>
          <w:color w:val="000000"/>
        </w:rPr>
        <w:instrText> HYPERLINK "http://www.consultant.ru/document/cons_doc_LAW_144624/c9a6856c47d466daf9494ae0b89605f97870d908/%23dst100724" </w:instrText>
      </w:r>
      <w:r>
        <w:fldChar w:fldCharType="separate"/>
      </w:r>
      <w:r>
        <w:rPr>
          <w:rStyle w:val="Hyperlink"/>
          <w:lang w:val="ru-RU" w:eastAsia="ru-RU" w:bidi="ru-RU"/>
          <w:w w:val="100"/>
          <w:spacing w:val="0"/>
          <w:position w:val="0"/>
        </w:rPr>
        <w:t xml:space="preserve"> 57,</w:t>
      </w:r>
      <w:r>
        <w:fldChar w:fldCharType="end"/>
      </w:r>
      <w:r>
        <w:fldChar w:fldCharType="begin"/>
      </w:r>
      <w:r>
        <w:rPr>
          <w:color w:val="000000"/>
        </w:rPr>
        <w:instrText> HYPERLINK "http://www.consultant.ru/document/cons_doc_LAW_144624/6005e816080786922f1ec1dde7b049b4bf7e031a/%23dst100746" </w:instrText>
      </w:r>
      <w:r>
        <w:fldChar w:fldCharType="separate"/>
      </w:r>
      <w:r>
        <w:rPr>
          <w:rStyle w:val="Hyperlink"/>
          <w:lang w:val="ru-RU" w:eastAsia="ru-RU" w:bidi="ru-RU"/>
          <w:w w:val="100"/>
          <w:spacing w:val="0"/>
          <w:position w:val="0"/>
        </w:rPr>
        <w:t xml:space="preserve"> 59,</w:t>
      </w:r>
      <w:r>
        <w:fldChar w:fldCharType="end"/>
      </w:r>
      <w:r>
        <w:fldChar w:fldCharType="begin"/>
      </w:r>
      <w:r>
        <w:rPr>
          <w:color w:val="000000"/>
        </w:rPr>
        <w:instrText> HYPERLINK "http://www.consultant.ru/document/cons_doc_LAW_144624/269fcb57117b69e734345ff5eceb1fd95b3368c4/%23dst100983" </w:instrText>
      </w:r>
      <w:r>
        <w:fldChar w:fldCharType="separate"/>
      </w:r>
      <w:r>
        <w:rPr>
          <w:rStyle w:val="Hyperlink"/>
          <w:lang w:val="ru-RU" w:eastAsia="ru-RU" w:bidi="ru-RU"/>
          <w:w w:val="100"/>
          <w:spacing w:val="0"/>
          <w:position w:val="0"/>
        </w:rPr>
        <w:t xml:space="preserve"> 72,</w:t>
      </w:r>
      <w:r>
        <w:fldChar w:fldCharType="end"/>
      </w:r>
      <w:r>
        <w:fldChar w:fldCharType="begin"/>
      </w:r>
      <w:r>
        <w:rPr>
          <w:color w:val="000000"/>
        </w:rPr>
        <w:instrText> HYPERLINK "http://www.consultant.ru/document/cons_doc_LAW_144624/57ab1a24dcc7ed1ee4f6a90d538a0f9e18aeceb2/%23dst101088" </w:instrText>
      </w:r>
      <w:r>
        <w:fldChar w:fldCharType="separate"/>
      </w:r>
      <w:r>
        <w:rPr>
          <w:rStyle w:val="Hyperlink"/>
          <w:lang w:val="ru-RU" w:eastAsia="ru-RU" w:bidi="ru-RU"/>
          <w:w w:val="100"/>
          <w:spacing w:val="0"/>
          <w:position w:val="0"/>
        </w:rPr>
        <w:t xml:space="preserve"> 83,</w:t>
      </w:r>
      <w:r>
        <w:fldChar w:fldCharType="end"/>
      </w:r>
      <w:r>
        <w:fldChar w:fldCharType="begin"/>
      </w:r>
      <w:r>
        <w:rPr>
          <w:color w:val="000000"/>
        </w:rPr>
        <w:instrText> HYPERLINK "http://www.consultant.ru/document/cons_doc_LAW_144624/d1011ca0c72c56f9d7f73921497a2a16c3de06c5/%23dst101137" </w:instrText>
      </w:r>
      <w:r>
        <w:fldChar w:fldCharType="separate"/>
      </w:r>
      <w:r>
        <w:rPr>
          <w:rStyle w:val="Hyperlink"/>
          <w:lang w:val="ru-RU" w:eastAsia="ru-RU" w:bidi="ru-RU"/>
          <w:w w:val="100"/>
          <w:spacing w:val="0"/>
          <w:position w:val="0"/>
        </w:rPr>
        <w:t xml:space="preserve"> 84 </w:t>
      </w:r>
      <w:r>
        <w:fldChar w:fldCharType="end"/>
      </w:r>
      <w:r>
        <w:rPr>
          <w:lang w:val="ru-RU" w:eastAsia="ru-RU" w:bidi="ru-RU"/>
          <w:w w:val="100"/>
          <w:spacing w:val="0"/>
          <w:color w:val="000000"/>
          <w:position w:val="0"/>
        </w:rPr>
        <w:t>и</w:t>
      </w:r>
      <w:r>
        <w:fldChar w:fldCharType="begin"/>
      </w:r>
      <w:r>
        <w:rPr>
          <w:color w:val="000000"/>
        </w:rPr>
        <w:instrText> HYPERLINK "http://www.consultant.ru/document/cons_doc_LAW_144624/ab3273e757a9e718cbb3741596bc36eb8138e4f6/%23dst101256" </w:instrText>
      </w:r>
      <w:r>
        <w:fldChar w:fldCharType="separate"/>
      </w:r>
      <w:r>
        <w:rPr>
          <w:rStyle w:val="Hyperlink"/>
          <w:lang w:val="ru-RU" w:eastAsia="ru-RU" w:bidi="ru-RU"/>
          <w:w w:val="100"/>
          <w:spacing w:val="0"/>
          <w:position w:val="0"/>
        </w:rPr>
        <w:t xml:space="preserve"> 93</w:t>
      </w:r>
      <w:r>
        <w:fldChar w:fldCharType="end"/>
      </w:r>
      <w:r>
        <w:rPr>
          <w:lang w:val="ru-RU" w:eastAsia="ru-RU" w:bidi="ru-RU"/>
          <w:w w:val="100"/>
          <w:spacing w:val="0"/>
          <w:color w:val="000000"/>
          <w:position w:val="0"/>
        </w:rPr>
        <w:t xml:space="preserve"> настоящего Федерального закона.</w:t>
      </w:r>
    </w:p>
    <w:p>
      <w:pPr>
        <w:pStyle w:val="Style7"/>
        <w:widowControl w:val="0"/>
        <w:keepNext w:val="0"/>
        <w:keepLines w:val="0"/>
        <w:shd w:val="clear" w:color="auto" w:fill="auto"/>
        <w:bidi w:val="0"/>
        <w:jc w:val="both"/>
        <w:spacing w:before="0" w:after="0" w:line="322" w:lineRule="exact"/>
        <w:ind w:left="20" w:right="160" w:firstLine="860"/>
      </w:pPr>
      <w:r>
        <w:rPr>
          <w:lang w:val="ru-RU" w:eastAsia="ru-RU" w:bidi="ru-RU"/>
          <w:w w:val="100"/>
          <w:spacing w:val="0"/>
          <w:color w:val="000000"/>
          <w:position w:val="0"/>
        </w:rPr>
        <w:t>Согласно части 2 статьи 59 Закона о контрактной системе заказчик обязан проводить электронный аукцион в случае, если осуществляются закупки товаров, работ, услуг, включенных в</w:t>
      </w:r>
      <w:r>
        <w:fldChar w:fldCharType="begin"/>
      </w:r>
      <w:r>
        <w:rPr>
          <w:color w:val="000000"/>
        </w:rPr>
        <w:instrText> HYPERLINK "http://www.consultant.ru/document/cons_doc_LAW_195624/6d56d276632193117dbca91e8a5a7266f7575f79/%23dst100009" </w:instrText>
      </w:r>
      <w:r>
        <w:fldChar w:fldCharType="separate"/>
      </w:r>
      <w:r>
        <w:rPr>
          <w:rStyle w:val="Hyperlink"/>
          <w:lang w:val="ru-RU" w:eastAsia="ru-RU" w:bidi="ru-RU"/>
          <w:w w:val="100"/>
          <w:spacing w:val="0"/>
          <w:position w:val="0"/>
        </w:rPr>
        <w:t xml:space="preserve"> </w:t>
      </w:r>
      <w:r>
        <w:rPr>
          <w:rStyle w:val="Hyperlink"/>
          <w:lang w:val="ru-RU" w:eastAsia="ru-RU" w:bidi="ru-RU"/>
        </w:rPr>
        <w:t>перечень,</w:t>
      </w:r>
      <w:r>
        <w:fldChar w:fldCharType="end"/>
      </w:r>
      <w:r>
        <w:rPr>
          <w:lang w:val="ru-RU" w:eastAsia="ru-RU" w:bidi="ru-RU"/>
          <w:w w:val="100"/>
          <w:spacing w:val="0"/>
          <w:color w:val="000000"/>
          <w:position w:val="0"/>
        </w:rPr>
        <w:t xml:space="preserve">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за исключением случаев закупок товаров, работ, услуг путем проведения запроса котировок, запроса предложений, осуществления закупки у единственного поставщика (подрядчика, исполнителя) с учетом требований настоящего Федерального закона. Включение товаров, работ, услуг в указанные перечни осуществляется в случае одновременного выполнения следующих условий:</w:t>
      </w:r>
    </w:p>
    <w:p>
      <w:pPr>
        <w:pStyle w:val="Style7"/>
        <w:numPr>
          <w:ilvl w:val="0"/>
          <w:numId w:val="11"/>
        </w:numPr>
        <w:widowControl w:val="0"/>
        <w:keepNext w:val="0"/>
        <w:keepLines w:val="0"/>
        <w:shd w:val="clear" w:color="auto" w:fill="auto"/>
        <w:bidi w:val="0"/>
        <w:jc w:val="both"/>
        <w:spacing w:before="0" w:after="0" w:line="322" w:lineRule="exact"/>
        <w:ind w:left="20" w:right="160" w:firstLine="860"/>
      </w:pPr>
      <w:r>
        <w:rPr>
          <w:lang w:val="ru-RU" w:eastAsia="ru-RU" w:bidi="ru-RU"/>
          <w:w w:val="100"/>
          <w:spacing w:val="0"/>
          <w:color w:val="000000"/>
          <w:position w:val="0"/>
        </w:rPr>
        <w:t xml:space="preserve"> существует возможность сформулировать подробное и точное описание объекта закупки;</w:t>
      </w:r>
    </w:p>
    <w:p>
      <w:pPr>
        <w:pStyle w:val="Style7"/>
        <w:numPr>
          <w:ilvl w:val="0"/>
          <w:numId w:val="11"/>
        </w:numPr>
        <w:widowControl w:val="0"/>
        <w:keepNext w:val="0"/>
        <w:keepLines w:val="0"/>
        <w:shd w:val="clear" w:color="auto" w:fill="auto"/>
        <w:bidi w:val="0"/>
        <w:jc w:val="both"/>
        <w:spacing w:before="0" w:after="0" w:line="322" w:lineRule="exact"/>
        <w:ind w:left="20" w:right="160" w:firstLine="860"/>
      </w:pPr>
      <w:r>
        <w:rPr>
          <w:lang w:val="ru-RU" w:eastAsia="ru-RU" w:bidi="ru-RU"/>
          <w:w w:val="100"/>
          <w:spacing w:val="0"/>
          <w:color w:val="000000"/>
          <w:position w:val="0"/>
        </w:rPr>
        <w:t xml:space="preserve"> критерии определения победителя такого аукциона имеют количественную и денежную оценку.</w:t>
      </w:r>
    </w:p>
    <w:p>
      <w:pPr>
        <w:pStyle w:val="Style7"/>
        <w:widowControl w:val="0"/>
        <w:keepNext w:val="0"/>
        <w:keepLines w:val="0"/>
        <w:shd w:val="clear" w:color="auto" w:fill="auto"/>
        <w:bidi w:val="0"/>
        <w:jc w:val="both"/>
        <w:spacing w:before="0" w:after="0" w:line="322" w:lineRule="exact"/>
        <w:ind w:left="20" w:right="160" w:firstLine="860"/>
      </w:pPr>
      <w:r>
        <w:rPr>
          <w:lang w:val="ru-RU" w:eastAsia="ru-RU" w:bidi="ru-RU"/>
          <w:w w:val="100"/>
          <w:spacing w:val="0"/>
          <w:color w:val="000000"/>
          <w:position w:val="0"/>
        </w:rPr>
        <w:t>В «Перечень товаров, работ, услуг, в случае осуществления закупок которых заказчик обязан проводить аукцион в электронной форме (электронный аукцион)», утвержденный Распоряжением Правительства Российской Федерации от 21.03.2016 №471-р, включены: «Услуги по дезинфекции, дезинсекции и дератизации», код ОКПД2: 81.29.11.</w:t>
      </w:r>
    </w:p>
    <w:p>
      <w:pPr>
        <w:pStyle w:val="Style13"/>
        <w:framePr w:w="10368"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15"/>
        </w:rPr>
        <w:t xml:space="preserve">Согласно извещению об Аукционе предметом закупки являются: </w:t>
      </w:r>
      <w:r>
        <w:rPr>
          <w:rStyle w:val="CharStyle16"/>
        </w:rPr>
        <w:t>«...</w:t>
      </w:r>
    </w:p>
    <w:tbl>
      <w:tblPr>
        <w:tblOverlap w:val="never"/>
        <w:tblLayout w:type="fixed"/>
        <w:jc w:val="center"/>
      </w:tblPr>
      <w:tblGrid>
        <w:gridCol w:w="3130"/>
        <w:gridCol w:w="1272"/>
        <w:gridCol w:w="1843"/>
        <w:gridCol w:w="1277"/>
        <w:gridCol w:w="1133"/>
        <w:gridCol w:w="1714"/>
      </w:tblGrid>
      <w:tr>
        <w:trPr>
          <w:trHeight w:val="667" w:hRule="exact"/>
        </w:trPr>
        <w:tc>
          <w:tcPr>
            <w:shd w:val="clear" w:color="auto" w:fill="FFFFFF"/>
            <w:tcBorders>
              <w:left w:val="single" w:sz="4"/>
              <w:top w:val="single" w:sz="4"/>
            </w:tcBorders>
            <w:vAlign w:val="center"/>
          </w:tcPr>
          <w:p>
            <w:pPr>
              <w:pStyle w:val="Style7"/>
              <w:framePr w:w="10368"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20"/>
              </w:rPr>
              <w:t>НАИМЕНОВАНИЕ ТОВАРА, РАБОТЫ, УСЛУГИ</w:t>
            </w:r>
          </w:p>
        </w:tc>
        <w:tc>
          <w:tcPr>
            <w:shd w:val="clear" w:color="auto" w:fill="FFFFFF"/>
            <w:tcBorders>
              <w:left w:val="single" w:sz="4"/>
              <w:top w:val="single" w:sz="4"/>
            </w:tcBorders>
            <w:vAlign w:val="center"/>
          </w:tcPr>
          <w:p>
            <w:pPr>
              <w:pStyle w:val="Style7"/>
              <w:framePr w:w="10368" w:wrap="notBeside" w:vAnchor="text" w:hAnchor="text" w:xAlign="center" w:y="1"/>
              <w:widowControl w:val="0"/>
              <w:keepNext w:val="0"/>
              <w:keepLines w:val="0"/>
              <w:shd w:val="clear" w:color="auto" w:fill="auto"/>
              <w:bidi w:val="0"/>
              <w:jc w:val="left"/>
              <w:spacing w:before="0" w:after="0" w:line="226" w:lineRule="exact"/>
              <w:ind w:left="280" w:right="0" w:firstLine="0"/>
            </w:pPr>
            <w:r>
              <w:rPr>
                <w:rStyle w:val="CharStyle21"/>
              </w:rPr>
              <w:t>КОД ПО ОКПД2</w:t>
            </w:r>
          </w:p>
        </w:tc>
        <w:tc>
          <w:tcPr>
            <w:shd w:val="clear" w:color="auto" w:fill="FFFFFF"/>
            <w:tcBorders>
              <w:left w:val="single" w:sz="4"/>
              <w:top w:val="single" w:sz="4"/>
            </w:tcBorders>
            <w:vAlign w:val="center"/>
          </w:tcPr>
          <w:p>
            <w:pPr>
              <w:pStyle w:val="Style7"/>
              <w:framePr w:w="10368" w:wrap="notBeside" w:vAnchor="text" w:hAnchor="text" w:xAlign="center" w:y="1"/>
              <w:widowControl w:val="0"/>
              <w:keepNext w:val="0"/>
              <w:keepLines w:val="0"/>
              <w:shd w:val="clear" w:color="auto" w:fill="auto"/>
              <w:bidi w:val="0"/>
              <w:jc w:val="center"/>
              <w:spacing w:before="0" w:after="60" w:line="200" w:lineRule="exact"/>
              <w:ind w:left="0" w:right="0" w:firstLine="0"/>
            </w:pPr>
            <w:r>
              <w:rPr>
                <w:rStyle w:val="CharStyle21"/>
              </w:rPr>
              <w:t>ЕДИНИЦА</w:t>
            </w:r>
          </w:p>
          <w:p>
            <w:pPr>
              <w:pStyle w:val="Style7"/>
              <w:framePr w:w="10368" w:wrap="notBeside" w:vAnchor="text" w:hAnchor="text" w:xAlign="center" w:y="1"/>
              <w:widowControl w:val="0"/>
              <w:keepNext w:val="0"/>
              <w:keepLines w:val="0"/>
              <w:shd w:val="clear" w:color="auto" w:fill="auto"/>
              <w:bidi w:val="0"/>
              <w:jc w:val="center"/>
              <w:spacing w:before="60" w:after="0" w:line="200" w:lineRule="exact"/>
              <w:ind w:left="0" w:right="0" w:firstLine="0"/>
            </w:pPr>
            <w:r>
              <w:rPr>
                <w:rStyle w:val="CharStyle21"/>
              </w:rPr>
              <w:t>ИЗМЕРЕНИЯ</w:t>
            </w:r>
          </w:p>
        </w:tc>
        <w:tc>
          <w:tcPr>
            <w:shd w:val="clear" w:color="auto" w:fill="FFFFFF"/>
            <w:tcBorders>
              <w:left w:val="single" w:sz="4"/>
              <w:top w:val="single" w:sz="4"/>
            </w:tcBorders>
            <w:vAlign w:val="center"/>
          </w:tcPr>
          <w:p>
            <w:pPr>
              <w:pStyle w:val="Style7"/>
              <w:framePr w:w="10368" w:wrap="notBeside" w:vAnchor="text" w:hAnchor="text" w:xAlign="center" w:y="1"/>
              <w:widowControl w:val="0"/>
              <w:keepNext w:val="0"/>
              <w:keepLines w:val="0"/>
              <w:shd w:val="clear" w:color="auto" w:fill="auto"/>
              <w:bidi w:val="0"/>
              <w:jc w:val="center"/>
              <w:spacing w:before="0" w:after="60" w:line="200" w:lineRule="exact"/>
              <w:ind w:left="0" w:right="0" w:firstLine="0"/>
            </w:pPr>
            <w:r>
              <w:rPr>
                <w:rStyle w:val="CharStyle21"/>
              </w:rPr>
              <w:t>КОЛИЧЕ</w:t>
            </w:r>
          </w:p>
          <w:p>
            <w:pPr>
              <w:pStyle w:val="Style7"/>
              <w:framePr w:w="10368" w:wrap="notBeside" w:vAnchor="text" w:hAnchor="text" w:xAlign="center" w:y="1"/>
              <w:widowControl w:val="0"/>
              <w:keepNext w:val="0"/>
              <w:keepLines w:val="0"/>
              <w:shd w:val="clear" w:color="auto" w:fill="auto"/>
              <w:bidi w:val="0"/>
              <w:jc w:val="center"/>
              <w:spacing w:before="60" w:after="0" w:line="200" w:lineRule="exact"/>
              <w:ind w:left="0" w:right="0" w:firstLine="0"/>
            </w:pPr>
            <w:r>
              <w:rPr>
                <w:rStyle w:val="CharStyle21"/>
              </w:rPr>
              <w:t>СТВО</w:t>
            </w:r>
          </w:p>
        </w:tc>
        <w:tc>
          <w:tcPr>
            <w:shd w:val="clear" w:color="auto" w:fill="FFFFFF"/>
            <w:tcBorders>
              <w:left w:val="single" w:sz="4"/>
              <w:top w:val="single" w:sz="4"/>
            </w:tcBorders>
            <w:vAlign w:val="center"/>
          </w:tcPr>
          <w:p>
            <w:pPr>
              <w:pStyle w:val="Style7"/>
              <w:framePr w:w="10368" w:wrap="notBeside" w:vAnchor="text" w:hAnchor="text" w:xAlign="center" w:y="1"/>
              <w:widowControl w:val="0"/>
              <w:keepNext w:val="0"/>
              <w:keepLines w:val="0"/>
              <w:shd w:val="clear" w:color="auto" w:fill="auto"/>
              <w:bidi w:val="0"/>
              <w:jc w:val="both"/>
              <w:spacing w:before="0" w:after="0" w:line="235" w:lineRule="exact"/>
              <w:ind w:left="0" w:right="0" w:firstLine="0"/>
            </w:pPr>
            <w:r>
              <w:rPr>
                <w:rStyle w:val="CharStyle21"/>
              </w:rPr>
              <w:t>ЦЕНА ЗА ЕД. ИЗМ.</w:t>
            </w:r>
          </w:p>
        </w:tc>
        <w:tc>
          <w:tcPr>
            <w:shd w:val="clear" w:color="auto" w:fill="FFFFFF"/>
            <w:tcBorders>
              <w:left w:val="single" w:sz="4"/>
              <w:right w:val="single" w:sz="4"/>
              <w:top w:val="single" w:sz="4"/>
            </w:tcBorders>
            <w:vAlign w:val="center"/>
          </w:tcPr>
          <w:p>
            <w:pPr>
              <w:pStyle w:val="Style7"/>
              <w:framePr w:w="10368"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1"/>
              </w:rPr>
              <w:t>СТОИМОСТЬ</w:t>
            </w:r>
          </w:p>
        </w:tc>
      </w:tr>
      <w:tr>
        <w:trPr>
          <w:trHeight w:val="662" w:hRule="exact"/>
        </w:trPr>
        <w:tc>
          <w:tcPr>
            <w:shd w:val="clear" w:color="auto" w:fill="FFFFFF"/>
            <w:tcBorders>
              <w:left w:val="single" w:sz="4"/>
              <w:top w:val="single" w:sz="4"/>
            </w:tcBorders>
            <w:vAlign w:val="center"/>
          </w:tcPr>
          <w:p>
            <w:pPr>
              <w:pStyle w:val="Style7"/>
              <w:framePr w:w="10368" w:wrap="notBeside" w:vAnchor="text" w:hAnchor="text" w:xAlign="center" w:y="1"/>
              <w:widowControl w:val="0"/>
              <w:keepNext w:val="0"/>
              <w:keepLines w:val="0"/>
              <w:shd w:val="clear" w:color="auto" w:fill="auto"/>
              <w:bidi w:val="0"/>
              <w:jc w:val="left"/>
              <w:spacing w:before="0" w:after="0" w:line="226" w:lineRule="exact"/>
              <w:ind w:left="180" w:right="0" w:firstLine="0"/>
            </w:pPr>
            <w:r>
              <w:rPr>
                <w:rStyle w:val="CharStyle20"/>
              </w:rPr>
              <w:t>Услуги по уборке и обслуживанию территории</w:t>
            </w:r>
          </w:p>
        </w:tc>
        <w:tc>
          <w:tcPr>
            <w:shd w:val="clear" w:color="auto" w:fill="FFFFFF"/>
            <w:tcBorders>
              <w:lef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21"/>
              </w:rPr>
              <w:t>81.29.19.000</w:t>
            </w:r>
          </w:p>
        </w:tc>
        <w:tc>
          <w:tcPr>
            <w:shd w:val="clear" w:color="auto" w:fill="FFFFFF"/>
            <w:tcBorders>
              <w:lef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1"/>
              </w:rPr>
              <w:t>Квадратный метр</w:t>
            </w:r>
          </w:p>
        </w:tc>
        <w:tc>
          <w:tcPr>
            <w:shd w:val="clear" w:color="auto" w:fill="FFFFFF"/>
            <w:tcBorders>
              <w:lef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1"/>
              </w:rPr>
              <w:t>7034949.88</w:t>
            </w:r>
          </w:p>
        </w:tc>
        <w:tc>
          <w:tcPr>
            <w:shd w:val="clear" w:color="auto" w:fill="FFFFFF"/>
            <w:tcBorders>
              <w:lef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1"/>
              </w:rPr>
              <w:t>8,17</w:t>
            </w:r>
          </w:p>
        </w:tc>
        <w:tc>
          <w:tcPr>
            <w:shd w:val="clear" w:color="auto" w:fill="FFFFFF"/>
            <w:tcBorders>
              <w:left w:val="single" w:sz="4"/>
              <w:righ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1"/>
              </w:rPr>
              <w:t>57 475 540,52</w:t>
            </w:r>
          </w:p>
        </w:tc>
      </w:tr>
      <w:tr>
        <w:trPr>
          <w:trHeight w:val="446" w:hRule="exact"/>
        </w:trPr>
        <w:tc>
          <w:tcPr>
            <w:shd w:val="clear" w:color="auto" w:fill="FFFFFF"/>
            <w:gridSpan w:val="5"/>
            <w:tcBorders>
              <w:left w:val="single" w:sz="4"/>
              <w:top w:val="single" w:sz="4"/>
              <w:bottom w:val="single" w:sz="4"/>
            </w:tcBorders>
            <w:vAlign w:val="center"/>
          </w:tcPr>
          <w:p>
            <w:pPr>
              <w:pStyle w:val="Style7"/>
              <w:framePr w:w="10368" w:wrap="notBeside" w:vAnchor="text" w:hAnchor="text" w:xAlign="center" w:y="1"/>
              <w:widowControl w:val="0"/>
              <w:keepNext w:val="0"/>
              <w:keepLines w:val="0"/>
              <w:shd w:val="clear" w:color="auto" w:fill="auto"/>
              <w:bidi w:val="0"/>
              <w:jc w:val="left"/>
              <w:spacing w:before="0" w:after="0" w:line="200" w:lineRule="exact"/>
              <w:ind w:left="180" w:right="0" w:firstLine="0"/>
            </w:pPr>
            <w:r>
              <w:rPr>
                <w:rStyle w:val="CharStyle20"/>
              </w:rPr>
              <w:t>Итого:</w:t>
            </w:r>
          </w:p>
        </w:tc>
        <w:tc>
          <w:tcPr>
            <w:shd w:val="clear" w:color="auto" w:fill="FFFFFF"/>
            <w:tcBorders>
              <w:left w:val="single" w:sz="4"/>
              <w:right w:val="single" w:sz="4"/>
              <w:top w:val="single" w:sz="4"/>
              <w:bottom w:val="single" w:sz="4"/>
            </w:tcBorders>
            <w:vAlign w:val="center"/>
          </w:tcPr>
          <w:p>
            <w:pPr>
              <w:pStyle w:val="Style7"/>
              <w:framePr w:w="10368"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1"/>
              </w:rPr>
              <w:t>57 475 540,52</w:t>
            </w:r>
          </w:p>
        </w:tc>
      </w:tr>
    </w:tbl>
    <w:p>
      <w:pPr>
        <w:pStyle w:val="Style13"/>
        <w:framePr w:w="10368"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17"/>
        </w:rPr>
        <w:t>...»</w:t>
      </w:r>
      <w:r>
        <w:rPr>
          <w:lang w:val="ru-RU" w:eastAsia="ru-RU" w:bidi="ru-RU"/>
          <w:w w:val="100"/>
          <w:spacing w:val="0"/>
          <w:color w:val="000000"/>
          <w:position w:val="0"/>
        </w:rPr>
        <w:t xml:space="preserve"> (цитата извещения ).</w:t>
      </w:r>
    </w:p>
    <w:p>
      <w:pPr>
        <w:pStyle w:val="Style13"/>
        <w:framePr w:w="10368" w:wrap="notBeside" w:vAnchor="text" w:hAnchor="text" w:xAlign="center" w:y="1"/>
        <w:widowControl w:val="0"/>
        <w:keepNext w:val="0"/>
        <w:keepLines w:val="0"/>
        <w:shd w:val="clear" w:color="auto" w:fill="auto"/>
        <w:bidi w:val="0"/>
        <w:jc w:val="left"/>
        <w:spacing w:before="0" w:after="2" w:line="260" w:lineRule="exact"/>
        <w:ind w:left="0" w:right="0" w:firstLine="0"/>
      </w:pPr>
      <w:r>
        <w:rPr>
          <w:lang w:val="ru-RU" w:eastAsia="ru-RU" w:bidi="ru-RU"/>
          <w:w w:val="100"/>
          <w:spacing w:val="0"/>
          <w:color w:val="000000"/>
          <w:position w:val="0"/>
        </w:rPr>
        <w:t>Заказчиком в документации об Аукционе установлено: «.</w:t>
      </w:r>
    </w:p>
    <w:p>
      <w:pPr>
        <w:pStyle w:val="Style18"/>
        <w:framePr w:w="10368" w:wrap="notBeside" w:vAnchor="text" w:hAnchor="text" w:xAlign="center" w:y="1"/>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ТЕХНИЧЕСКОЕ ЗАДАНИЕ</w:t>
      </w:r>
    </w:p>
    <w:p>
      <w:pPr>
        <w:widowControl w:val="0"/>
        <w:rPr>
          <w:sz w:val="2"/>
          <w:szCs w:val="2"/>
        </w:rPr>
      </w:pPr>
    </w:p>
    <w:p>
      <w:pPr>
        <w:pStyle w:val="Style22"/>
        <w:widowControl w:val="0"/>
        <w:keepNext w:val="0"/>
        <w:keepLines w:val="0"/>
        <w:shd w:val="clear" w:color="auto" w:fill="auto"/>
        <w:bidi w:val="0"/>
        <w:spacing w:before="0" w:after="0"/>
        <w:ind w:left="0" w:right="160" w:firstLine="0"/>
      </w:pPr>
      <w:r>
        <w:rPr>
          <w:lang w:val="ru-RU" w:eastAsia="ru-RU" w:bidi="ru-RU"/>
          <w:w w:val="100"/>
          <w:spacing w:val="0"/>
          <w:color w:val="000000"/>
          <w:position w:val="0"/>
        </w:rPr>
        <w:t>ОПИСАНИЕ ОБЪЕКТА ЗАКУПКИ услуги по уборке и обслуживанию территории ФГБУ "Военный санаторий "Крым" Минобороны</w:t>
      </w:r>
    </w:p>
    <w:p>
      <w:pPr>
        <w:pStyle w:val="Style22"/>
        <w:widowControl w:val="0"/>
        <w:keepNext w:val="0"/>
        <w:keepLines w:val="0"/>
        <w:shd w:val="clear" w:color="auto" w:fill="auto"/>
        <w:bidi w:val="0"/>
        <w:jc w:val="left"/>
        <w:spacing w:before="0" w:after="0" w:line="274" w:lineRule="exact"/>
        <w:ind w:left="4760" w:right="0" w:firstLine="0"/>
      </w:pPr>
      <w:r>
        <w:rPr>
          <w:lang w:val="ru-RU" w:eastAsia="ru-RU" w:bidi="ru-RU"/>
          <w:w w:val="100"/>
          <w:spacing w:val="0"/>
          <w:color w:val="000000"/>
          <w:position w:val="0"/>
        </w:rPr>
        <w:t>России</w:t>
      </w:r>
    </w:p>
    <w:p>
      <w:pPr>
        <w:pStyle w:val="Style22"/>
        <w:widowControl w:val="0"/>
        <w:keepNext w:val="0"/>
        <w:keepLines w:val="0"/>
        <w:shd w:val="clear" w:color="auto" w:fill="auto"/>
        <w:bidi w:val="0"/>
        <w:jc w:val="left"/>
        <w:spacing w:before="0" w:after="0" w:line="274" w:lineRule="exact"/>
        <w:ind w:left="4760" w:right="0" w:firstLine="0"/>
      </w:pPr>
      <w:r>
        <w:rPr>
          <w:lang w:val="ru-RU" w:eastAsia="ru-RU" w:bidi="ru-RU"/>
          <w:w w:val="100"/>
          <w:spacing w:val="0"/>
          <w:color w:val="000000"/>
          <w:position w:val="0"/>
        </w:rPr>
        <w:t>Общие условия</w:t>
      </w:r>
    </w:p>
    <w:p>
      <w:pPr>
        <w:pStyle w:val="Style22"/>
        <w:widowControl w:val="0"/>
        <w:keepNext w:val="0"/>
        <w:keepLines w:val="0"/>
        <w:shd w:val="clear" w:color="auto" w:fill="auto"/>
        <w:bidi w:val="0"/>
        <w:jc w:val="both"/>
        <w:spacing w:before="0" w:after="0" w:line="274" w:lineRule="exact"/>
        <w:ind w:left="20" w:right="20" w:firstLine="860"/>
      </w:pPr>
      <w:r>
        <w:rPr>
          <w:lang w:val="ru-RU" w:eastAsia="ru-RU" w:bidi="ru-RU"/>
          <w:w w:val="100"/>
          <w:spacing w:val="0"/>
          <w:color w:val="000000"/>
          <w:position w:val="0"/>
        </w:rPr>
        <w:t>Настоящее техническое задание определяет объем, условия, требования и порядок оказания услуг по уборке и обслуживанию территории ФГБУ "Военный санаторий "Крым» Минобороны России.</w:t>
      </w:r>
    </w:p>
    <w:p>
      <w:pPr>
        <w:pStyle w:val="Style22"/>
        <w:widowControl w:val="0"/>
        <w:keepNext w:val="0"/>
        <w:keepLines w:val="0"/>
        <w:shd w:val="clear" w:color="auto" w:fill="auto"/>
        <w:bidi w:val="0"/>
        <w:jc w:val="both"/>
        <w:spacing w:before="0" w:after="0" w:line="274" w:lineRule="exact"/>
        <w:ind w:left="20" w:right="20" w:firstLine="860"/>
      </w:pPr>
      <w:r>
        <w:rPr>
          <w:lang w:val="ru-RU" w:eastAsia="ru-RU" w:bidi="ru-RU"/>
          <w:w w:val="100"/>
          <w:spacing w:val="0"/>
          <w:color w:val="000000"/>
          <w:position w:val="0"/>
        </w:rPr>
        <w:t>Настоящее техническое задание разработано в соответствии с действующим законодательством и нормативно-правовых актов Российской Федерации.</w:t>
      </w:r>
    </w:p>
    <w:p>
      <w:pPr>
        <w:pStyle w:val="Style22"/>
        <w:widowControl w:val="0"/>
        <w:keepNext w:val="0"/>
        <w:keepLines w:val="0"/>
        <w:shd w:val="clear" w:color="auto" w:fill="auto"/>
        <w:bidi w:val="0"/>
        <w:jc w:val="both"/>
        <w:spacing w:before="0" w:after="0" w:line="274" w:lineRule="exact"/>
        <w:ind w:left="20" w:right="0" w:firstLine="860"/>
      </w:pPr>
      <w:r>
        <w:rPr>
          <w:lang w:val="ru-RU" w:eastAsia="ru-RU" w:bidi="ru-RU"/>
          <w:w w:val="100"/>
          <w:spacing w:val="0"/>
          <w:color w:val="000000"/>
          <w:position w:val="0"/>
        </w:rPr>
        <w:t>Требования настоящего технического задания являются обязательными для исполнения.</w:t>
      </w:r>
    </w:p>
    <w:p>
      <w:pPr>
        <w:pStyle w:val="Style22"/>
        <w:widowControl w:val="0"/>
        <w:keepNext w:val="0"/>
        <w:keepLines w:val="0"/>
        <w:shd w:val="clear" w:color="auto" w:fill="auto"/>
        <w:bidi w:val="0"/>
        <w:jc w:val="both"/>
        <w:spacing w:before="0" w:after="0" w:line="274" w:lineRule="exact"/>
        <w:ind w:left="20" w:right="20" w:firstLine="860"/>
      </w:pPr>
      <w:r>
        <w:rPr>
          <w:lang w:val="ru-RU" w:eastAsia="ru-RU" w:bidi="ru-RU"/>
          <w:w w:val="100"/>
          <w:spacing w:val="0"/>
          <w:color w:val="000000"/>
          <w:position w:val="0"/>
        </w:rPr>
        <w:t>Наименование услуги: Услуги по уборке и обслуживанию территории ФГБУ "Военный санаторий "Крым» Минобороны России</w:t>
      </w:r>
    </w:p>
    <w:p>
      <w:pPr>
        <w:pStyle w:val="Style22"/>
        <w:widowControl w:val="0"/>
        <w:keepNext w:val="0"/>
        <w:keepLines w:val="0"/>
        <w:shd w:val="clear" w:color="auto" w:fill="auto"/>
        <w:bidi w:val="0"/>
        <w:jc w:val="both"/>
        <w:spacing w:before="0" w:after="0" w:line="274" w:lineRule="exact"/>
        <w:ind w:left="20" w:right="20" w:firstLine="860"/>
      </w:pPr>
      <w:r>
        <w:rPr>
          <w:lang w:val="ru-RU" w:eastAsia="ru-RU" w:bidi="ru-RU"/>
          <w:w w:val="100"/>
          <w:spacing w:val="0"/>
          <w:color w:val="000000"/>
          <w:position w:val="0"/>
        </w:rPr>
        <w:t>Место выполнения услуг, порядок оказания услуг: Республика Крым, г.Алушта, пгт. Партенит, ул. Санаторная,1. Услуги по уборке и обслуживанию территории должны оказываться в соответствии с действующими нормами и правилами, а также условиями Контракта.</w:t>
      </w:r>
    </w:p>
    <w:p>
      <w:pPr>
        <w:pStyle w:val="Style22"/>
        <w:widowControl w:val="0"/>
        <w:keepNext w:val="0"/>
        <w:keepLines w:val="0"/>
        <w:shd w:val="clear" w:color="auto" w:fill="auto"/>
        <w:bidi w:val="0"/>
        <w:jc w:val="both"/>
        <w:spacing w:before="0" w:after="0" w:line="293" w:lineRule="exact"/>
        <w:ind w:left="20" w:right="20" w:firstLine="860"/>
      </w:pPr>
      <w:r>
        <w:rPr>
          <w:lang w:val="ru-RU" w:eastAsia="ru-RU" w:bidi="ru-RU"/>
          <w:w w:val="100"/>
          <w:spacing w:val="0"/>
          <w:color w:val="000000"/>
          <w:position w:val="0"/>
        </w:rPr>
        <w:t xml:space="preserve">Площадь для уборки и обслуживания территории в 2018-2019 году составляет 7 034 949,88 (м2): в 2018 году - 3 517 474,94(м2) и в 2019 году - 3 517 474,94(м2). Расшифровка представлена в приложении № 1 к описанию объекта закупки (техническому заданию) </w:t>
      </w:r>
      <w:r>
        <w:rPr>
          <w:rStyle w:val="CharStyle24"/>
          <w:b w:val="0"/>
          <w:bCs w:val="0"/>
        </w:rPr>
        <w:t>...»</w:t>
      </w:r>
      <w:r>
        <w:rPr>
          <w:rStyle w:val="CharStyle25"/>
          <w:b w:val="0"/>
          <w:bCs w:val="0"/>
        </w:rPr>
        <w:t xml:space="preserve"> (цитата).</w:t>
      </w:r>
    </w:p>
    <w:p>
      <w:pPr>
        <w:pStyle w:val="Style7"/>
        <w:widowControl w:val="0"/>
        <w:keepNext w:val="0"/>
        <w:keepLines w:val="0"/>
        <w:shd w:val="clear" w:color="auto" w:fill="auto"/>
        <w:bidi w:val="0"/>
        <w:jc w:val="both"/>
        <w:spacing w:before="0" w:after="56" w:line="317" w:lineRule="exact"/>
        <w:ind w:left="20" w:right="20" w:firstLine="860"/>
      </w:pPr>
      <w:r>
        <w:rPr>
          <w:lang w:val="ru-RU" w:eastAsia="ru-RU" w:bidi="ru-RU"/>
          <w:w w:val="100"/>
          <w:spacing w:val="0"/>
          <w:color w:val="000000"/>
          <w:position w:val="0"/>
        </w:rPr>
        <w:t>Учитывая изложенное, действия Заказчика по определению способа проведения закупки «Услуги по уборке и обслуживанию территории» не противоречат положениям Закона о контрактной системе, в связи с чем, довод Заявителя не нашел своего подтверждения.</w:t>
      </w:r>
    </w:p>
    <w:p>
      <w:pPr>
        <w:pStyle w:val="Style7"/>
        <w:numPr>
          <w:ilvl w:val="0"/>
          <w:numId w:val="9"/>
        </w:numPr>
        <w:tabs>
          <w:tab w:leader="none" w:pos="1244"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доводам жалобы Заявитель указывает на то, что Заказчик в Конкурсной документации неправомерно установлено требование о предоставлении документов, подтверждающих наличие сотрудников в штате, образование и квалификацию сотрудников участника.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пунктом 9 части 1 статьи 50 Закона о контрактной системе конкурсная документация должна содержать критерии оценки заявок на участие в закупке, величины значимости этих критериев, порядок рассмотрения и оценки таких заявок.</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 от 28.11.2013 №1085).</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пункту 4 Правил от 28.11.2013 №1085 для оценки заявок заказчик устанавливает в документации о закупке следующие критерии оценки:</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а) стоимостные критерии оценки, в том числе цена контракта;</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б) нестоимостные критерии оценки: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качественные, функциональные и экологические характеристики объекта закупки;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закупки).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положениями пункта 8 Правил от 28.11.2013 №1085 для оценки заявок заказчик устанавливает в документации о закупке не менее двух критериев оценки, одним из которых должен быть критерий «цена контракта».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Заказчик в пункте 26 части II «ИНФОРМАЦИОННАЯ КАРТА КОНКУРСА» Конкурсной документации установил: «.</w:t>
      </w:r>
    </w:p>
    <w:p>
      <w:pPr>
        <w:pStyle w:val="Style22"/>
        <w:widowControl w:val="0"/>
        <w:keepNext w:val="0"/>
        <w:keepLines w:val="0"/>
        <w:shd w:val="clear" w:color="auto" w:fill="auto"/>
        <w:bidi w:val="0"/>
        <w:spacing w:before="0" w:after="189"/>
        <w:ind w:left="0" w:right="440" w:firstLine="0"/>
      </w:pPr>
      <w:r>
        <w:rPr>
          <w:lang w:val="ru-RU" w:eastAsia="ru-RU" w:bidi="ru-RU"/>
          <w:w w:val="100"/>
          <w:spacing w:val="0"/>
          <w:color w:val="000000"/>
          <w:position w:val="0"/>
        </w:rPr>
        <w:t>Критерии оценки заявок на участие в конкурсе, величины значимости этих критериев, порядок оценки заявок на участие в конкурсе</w:t>
      </w:r>
    </w:p>
    <w:p>
      <w:pPr>
        <w:pStyle w:val="Style18"/>
        <w:framePr w:w="10224" w:wrap="notBeside" w:vAnchor="text" w:hAnchor="text" w:xAlign="center" w:y="1"/>
        <w:widowControl w:val="0"/>
        <w:keepNext w:val="0"/>
        <w:keepLines w:val="0"/>
        <w:shd w:val="clear" w:color="auto" w:fill="auto"/>
        <w:bidi w:val="0"/>
        <w:jc w:val="left"/>
        <w:spacing w:before="0" w:after="14" w:line="200" w:lineRule="exact"/>
        <w:ind w:left="0" w:right="0" w:firstLine="0"/>
      </w:pPr>
      <w:r>
        <w:rPr>
          <w:lang w:val="ru-RU" w:eastAsia="ru-RU" w:bidi="ru-RU"/>
          <w:w w:val="100"/>
          <w:spacing w:val="0"/>
          <w:color w:val="000000"/>
          <w:position w:val="0"/>
        </w:rPr>
        <w:t>2. Критерии оценки заявок</w:t>
      </w:r>
    </w:p>
    <w:p>
      <w:pPr>
        <w:pStyle w:val="Style18"/>
        <w:framePr w:w="10224" w:wrap="notBeside" w:vAnchor="text" w:hAnchor="text" w:xAlign="center" w:y="1"/>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2.1. Оценка заявок на участие в конкурсе осуществляется по следующим критериям:</w:t>
      </w:r>
    </w:p>
    <w:tbl>
      <w:tblPr>
        <w:tblOverlap w:val="never"/>
        <w:tblLayout w:type="fixed"/>
        <w:jc w:val="center"/>
      </w:tblPr>
      <w:tblGrid>
        <w:gridCol w:w="576"/>
        <w:gridCol w:w="6398"/>
        <w:gridCol w:w="3250"/>
      </w:tblGrid>
      <w:tr>
        <w:trPr>
          <w:trHeight w:val="1027"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left"/>
              <w:spacing w:before="0" w:after="60" w:line="200" w:lineRule="exact"/>
              <w:ind w:left="160" w:right="0" w:firstLine="0"/>
            </w:pPr>
            <w:r>
              <w:rPr>
                <w:rStyle w:val="CharStyle26"/>
              </w:rPr>
              <w:t>№</w:t>
            </w:r>
          </w:p>
          <w:p>
            <w:pPr>
              <w:pStyle w:val="Style7"/>
              <w:framePr w:w="10224" w:wrap="notBeside" w:vAnchor="text" w:hAnchor="text" w:xAlign="center" w:y="1"/>
              <w:widowControl w:val="0"/>
              <w:keepNext w:val="0"/>
              <w:keepLines w:val="0"/>
              <w:shd w:val="clear" w:color="auto" w:fill="auto"/>
              <w:bidi w:val="0"/>
              <w:jc w:val="left"/>
              <w:spacing w:before="60" w:after="0" w:line="200" w:lineRule="exact"/>
              <w:ind w:left="160" w:right="0" w:firstLine="0"/>
            </w:pPr>
            <w:r>
              <w:rPr>
                <w:rStyle w:val="CharStyle26"/>
              </w:rPr>
              <w:t>п/п</w:t>
            </w:r>
          </w:p>
        </w:tc>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6"/>
              </w:rPr>
              <w:t>Наименование критерия оценки</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26"/>
              </w:rPr>
              <w:t>Величина значимости критерия оценки (коэффициент значимости критерия оценки)</w:t>
            </w:r>
          </w:p>
        </w:tc>
      </w:tr>
      <w:tr>
        <w:trPr>
          <w:trHeight w:val="384" w:hRule="exact"/>
        </w:trPr>
        <w:tc>
          <w:tcPr>
            <w:shd w:val="clear" w:color="auto" w:fill="FFFFFF"/>
            <w:gridSpan w:val="3"/>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6"/>
              </w:rPr>
              <w:t>Стоимостные критерии оценки:</w:t>
            </w:r>
          </w:p>
        </w:tc>
      </w:tr>
      <w:tr>
        <w:trPr>
          <w:trHeight w:val="264"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00" w:lineRule="exact"/>
              <w:ind w:left="260" w:right="0" w:firstLine="0"/>
            </w:pPr>
            <w:r>
              <w:rPr>
                <w:rStyle w:val="CharStyle26"/>
              </w:rPr>
              <w:t>1</w:t>
            </w:r>
          </w:p>
        </w:tc>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00" w:lineRule="exact"/>
              <w:ind w:left="420" w:right="0" w:firstLine="0"/>
            </w:pPr>
            <w:r>
              <w:rPr>
                <w:rStyle w:val="CharStyle26"/>
              </w:rPr>
              <w:t>Цена договора</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6"/>
              </w:rPr>
              <w:t>60% (0,60)</w:t>
            </w:r>
          </w:p>
        </w:tc>
      </w:tr>
      <w:tr>
        <w:trPr>
          <w:trHeight w:val="341" w:hRule="exact"/>
        </w:trPr>
        <w:tc>
          <w:tcPr>
            <w:shd w:val="clear" w:color="auto" w:fill="FFFFFF"/>
            <w:gridSpan w:val="3"/>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6"/>
              </w:rPr>
              <w:t>Нестоимостные критерии оценки:</w:t>
            </w:r>
          </w:p>
        </w:tc>
      </w:tr>
      <w:tr>
        <w:trPr>
          <w:trHeight w:val="1560" w:hRule="exact"/>
        </w:trPr>
        <w:tc>
          <w:tcPr>
            <w:shd w:val="clear" w:color="auto" w:fill="FFFFFF"/>
            <w:tcBorders>
              <w:left w:val="single" w:sz="4"/>
              <w:top w:val="single" w:sz="4"/>
              <w:bottom w:val="single" w:sz="4"/>
            </w:tcBorders>
            <w:vAlign w:val="center"/>
          </w:tcPr>
          <w:p>
            <w:pPr>
              <w:pStyle w:val="Style7"/>
              <w:framePr w:w="10224" w:wrap="notBeside" w:vAnchor="text" w:hAnchor="text" w:xAlign="center" w:y="1"/>
              <w:widowControl w:val="0"/>
              <w:keepNext w:val="0"/>
              <w:keepLines w:val="0"/>
              <w:shd w:val="clear" w:color="auto" w:fill="auto"/>
              <w:bidi w:val="0"/>
              <w:jc w:val="left"/>
              <w:spacing w:before="0" w:after="0" w:line="200" w:lineRule="exact"/>
              <w:ind w:left="240" w:right="0" w:firstLine="0"/>
            </w:pPr>
            <w:r>
              <w:rPr>
                <w:rStyle w:val="CharStyle26"/>
              </w:rPr>
              <w:t>2</w:t>
            </w:r>
          </w:p>
        </w:tc>
        <w:tc>
          <w:tcPr>
            <w:shd w:val="clear" w:color="auto" w:fill="FFFFFF"/>
            <w:tcBorders>
              <w:left w:val="single" w:sz="4"/>
              <w:top w:val="single" w:sz="4"/>
              <w:bottom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26"/>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договора, и деловой репутации, специалистов и иных работников определенного уровня квалификации</w:t>
            </w:r>
          </w:p>
        </w:tc>
        <w:tc>
          <w:tcPr>
            <w:shd w:val="clear" w:color="auto" w:fill="FFFFFF"/>
            <w:tcBorders>
              <w:left w:val="single" w:sz="4"/>
              <w:right w:val="single" w:sz="4"/>
              <w:top w:val="single" w:sz="4"/>
              <w:bottom w:val="single" w:sz="4"/>
            </w:tcBorders>
            <w:vAlign w:val="center"/>
          </w:tcPr>
          <w:p>
            <w:pPr>
              <w:pStyle w:val="Style7"/>
              <w:framePr w:w="10224" w:wrap="notBeside" w:vAnchor="text" w:hAnchor="text" w:xAlign="center" w:y="1"/>
              <w:widowControl w:val="0"/>
              <w:keepNext w:val="0"/>
              <w:keepLines w:val="0"/>
              <w:shd w:val="clear" w:color="auto" w:fill="auto"/>
              <w:bidi w:val="0"/>
              <w:jc w:val="left"/>
              <w:spacing w:before="0" w:after="0" w:line="200" w:lineRule="exact"/>
              <w:ind w:left="1280" w:right="0" w:firstLine="0"/>
            </w:pPr>
            <w:r>
              <w:rPr>
                <w:rStyle w:val="CharStyle26"/>
              </w:rPr>
              <w:t>40% (0,40)</w:t>
            </w:r>
          </w:p>
        </w:tc>
      </w:tr>
    </w:tbl>
    <w:p>
      <w:pPr>
        <w:widowControl w:val="0"/>
        <w:rPr>
          <w:sz w:val="2"/>
          <w:szCs w:val="2"/>
        </w:rPr>
      </w:pPr>
    </w:p>
    <w:p>
      <w:pPr>
        <w:pStyle w:val="Style22"/>
        <w:widowControl w:val="0"/>
        <w:keepNext w:val="0"/>
        <w:keepLines w:val="0"/>
        <w:shd w:val="clear" w:color="auto" w:fill="auto"/>
        <w:bidi w:val="0"/>
        <w:jc w:val="both"/>
        <w:spacing w:before="194" w:after="0" w:line="250" w:lineRule="exact"/>
        <w:ind w:left="20" w:right="20" w:firstLine="860"/>
      </w:pPr>
      <w:r>
        <w:rPr>
          <w:lang w:val="ru-RU" w:eastAsia="ru-RU" w:bidi="ru-RU"/>
          <w:w w:val="100"/>
          <w:spacing w:val="0"/>
          <w:color w:val="000000"/>
          <w:position w:val="0"/>
        </w:rPr>
        <w:t>4. Оценка заявок по критерию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договора, и деловой репутации, специалистов и иных работников определенного уровня квалификации».</w:t>
      </w:r>
    </w:p>
    <w:p>
      <w:pPr>
        <w:pStyle w:val="Style22"/>
        <w:numPr>
          <w:ilvl w:val="0"/>
          <w:numId w:val="13"/>
        </w:numPr>
        <w:widowControl w:val="0"/>
        <w:keepNext w:val="0"/>
        <w:keepLines w:val="0"/>
        <w:shd w:val="clear" w:color="auto" w:fill="auto"/>
        <w:bidi w:val="0"/>
        <w:jc w:val="both"/>
        <w:spacing w:before="0" w:after="0" w:line="250" w:lineRule="exact"/>
        <w:ind w:left="20" w:right="20" w:firstLine="860"/>
      </w:pPr>
      <w:r>
        <w:rPr>
          <w:lang w:val="ru-RU" w:eastAsia="ru-RU" w:bidi="ru-RU"/>
          <w:w w:val="100"/>
          <w:spacing w:val="0"/>
          <w:color w:val="000000"/>
          <w:position w:val="0"/>
        </w:rPr>
        <w:t xml:space="preserve"> В конкурсной документации в отношении нестоимостных критериев оценки предусмотрены показатели, раскрывающие содержание нестоимостного критерия оценки и учитывающие особенности оценки закупаемых работ по данному нестоимостному критерию оценки.</w:t>
      </w:r>
    </w:p>
    <w:p>
      <w:pPr>
        <w:pStyle w:val="Style22"/>
        <w:numPr>
          <w:ilvl w:val="0"/>
          <w:numId w:val="13"/>
        </w:numPr>
        <w:widowControl w:val="0"/>
        <w:keepNext w:val="0"/>
        <w:keepLines w:val="0"/>
        <w:shd w:val="clear" w:color="auto" w:fill="auto"/>
        <w:bidi w:val="0"/>
        <w:jc w:val="both"/>
        <w:spacing w:before="0" w:after="0" w:line="250" w:lineRule="exact"/>
        <w:ind w:left="20" w:right="20" w:firstLine="860"/>
      </w:pPr>
      <w:r>
        <w:rPr>
          <w:lang w:val="ru-RU" w:eastAsia="ru-RU" w:bidi="ru-RU"/>
          <w:w w:val="100"/>
          <w:spacing w:val="0"/>
          <w:color w:val="000000"/>
          <w:position w:val="0"/>
        </w:rPr>
        <w:t xml:space="preserve"> Для каждого из показателей установлена его значимость, в соответствии с которой будет производиться оценка.</w:t>
      </w:r>
    </w:p>
    <w:p>
      <w:pPr>
        <w:pStyle w:val="Style22"/>
        <w:numPr>
          <w:ilvl w:val="0"/>
          <w:numId w:val="13"/>
        </w:numPr>
        <w:widowControl w:val="0"/>
        <w:keepNext w:val="0"/>
        <w:keepLines w:val="0"/>
        <w:shd w:val="clear" w:color="auto" w:fill="auto"/>
        <w:bidi w:val="0"/>
        <w:jc w:val="both"/>
        <w:spacing w:before="0" w:after="0" w:line="250" w:lineRule="exact"/>
        <w:ind w:left="20" w:right="20" w:firstLine="860"/>
      </w:pPr>
      <w:r>
        <w:rPr>
          <w:lang w:val="ru-RU" w:eastAsia="ru-RU" w:bidi="ru-RU"/>
          <w:w w:val="100"/>
          <w:spacing w:val="0"/>
          <w:color w:val="000000"/>
          <w:position w:val="0"/>
        </w:rPr>
        <w:t xml:space="preserve"> В конкурсной документации установлены следующие нестоимостные критерии и показатели:</w:t>
      </w:r>
    </w:p>
    <w:p>
      <w:pPr>
        <w:pStyle w:val="Style22"/>
        <w:numPr>
          <w:ilvl w:val="1"/>
          <w:numId w:val="13"/>
        </w:numPr>
        <w:widowControl w:val="0"/>
        <w:keepNext w:val="0"/>
        <w:keepLines w:val="0"/>
        <w:shd w:val="clear" w:color="auto" w:fill="auto"/>
        <w:bidi w:val="0"/>
        <w:jc w:val="both"/>
        <w:spacing w:before="0" w:after="0" w:line="250" w:lineRule="exact"/>
        <w:ind w:left="20" w:right="20" w:firstLine="860"/>
      </w:pPr>
      <w:r>
        <w:rPr>
          <w:lang w:val="ru-RU" w:eastAsia="ru-RU" w:bidi="ru-RU"/>
          <w:w w:val="100"/>
          <w:spacing w:val="0"/>
          <w:color w:val="000000"/>
          <w:position w:val="0"/>
        </w:rPr>
        <w:t xml:space="preserve"> Критерий: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2"/>
        <w:widowControl w:val="0"/>
        <w:keepNext w:val="0"/>
        <w:keepLines w:val="0"/>
        <w:shd w:val="clear" w:color="auto" w:fill="auto"/>
        <w:bidi w:val="0"/>
        <w:jc w:val="both"/>
        <w:spacing w:before="0" w:after="0" w:line="250" w:lineRule="exact"/>
        <w:ind w:left="20" w:right="0" w:firstLine="860"/>
      </w:pPr>
      <w:r>
        <w:rPr>
          <w:lang w:val="ru-RU" w:eastAsia="ru-RU" w:bidi="ru-RU"/>
          <w:w w:val="100"/>
          <w:spacing w:val="0"/>
          <w:color w:val="000000"/>
          <w:position w:val="0"/>
        </w:rPr>
        <w:t>Максимальное значение показателей критерия - 100 баллов.</w:t>
      </w:r>
    </w:p>
    <w:p>
      <w:pPr>
        <w:pStyle w:val="Style22"/>
        <w:widowControl w:val="0"/>
        <w:keepNext w:val="0"/>
        <w:keepLines w:val="0"/>
        <w:shd w:val="clear" w:color="auto" w:fill="auto"/>
        <w:bidi w:val="0"/>
        <w:jc w:val="both"/>
        <w:spacing w:before="0" w:after="0" w:line="250" w:lineRule="exact"/>
        <w:ind w:left="20" w:right="20" w:firstLine="860"/>
      </w:pPr>
      <w:r>
        <w:rPr>
          <w:lang w:val="ru-RU" w:eastAsia="ru-RU" w:bidi="ru-RU"/>
          <w:w w:val="100"/>
          <w:spacing w:val="0"/>
          <w:color w:val="000000"/>
          <w:position w:val="0"/>
        </w:rPr>
        <w:t>В соответствии с Порядком оценки заявок в отношении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предусмотрены следующие показатели, раскрывающие содержание критерия оценки и учитывающие особенности оценки по критерию:</w:t>
      </w:r>
    </w:p>
    <w:p>
      <w:pPr>
        <w:pStyle w:val="Style22"/>
        <w:numPr>
          <w:ilvl w:val="2"/>
          <w:numId w:val="13"/>
        </w:numPr>
        <w:widowControl w:val="0"/>
        <w:keepNext w:val="0"/>
        <w:keepLines w:val="0"/>
        <w:shd w:val="clear" w:color="auto" w:fill="auto"/>
        <w:bidi w:val="0"/>
        <w:jc w:val="both"/>
        <w:spacing w:before="0" w:after="0" w:line="259" w:lineRule="exact"/>
        <w:ind w:left="20" w:right="20" w:firstLine="860"/>
      </w:pPr>
      <w:r>
        <w:rPr>
          <w:lang w:val="ru-RU" w:eastAsia="ru-RU" w:bidi="ru-RU"/>
          <w:w w:val="100"/>
          <w:spacing w:val="0"/>
          <w:color w:val="000000"/>
          <w:position w:val="0"/>
        </w:rPr>
        <w:t xml:space="preserve"> </w:t>
      </w:r>
      <w:r>
        <w:rPr>
          <w:rStyle w:val="CharStyle27"/>
          <w:b/>
          <w:bCs/>
        </w:rPr>
        <w:t>Показатель 1 (П1):</w:t>
      </w:r>
      <w:r>
        <w:rPr>
          <w:lang w:val="ru-RU" w:eastAsia="ru-RU" w:bidi="ru-RU"/>
          <w:w w:val="100"/>
          <w:spacing w:val="0"/>
          <w:color w:val="000000"/>
          <w:position w:val="0"/>
        </w:rPr>
        <w:t xml:space="preserve"> Опыт участника закупки по успешному выполнению работ сопоставимого характера и объема:</w:t>
      </w:r>
    </w:p>
    <w:p>
      <w:pPr>
        <w:pStyle w:val="Style22"/>
        <w:widowControl w:val="0"/>
        <w:keepNext w:val="0"/>
        <w:keepLines w:val="0"/>
        <w:shd w:val="clear" w:color="auto" w:fill="auto"/>
        <w:bidi w:val="0"/>
        <w:jc w:val="both"/>
        <w:spacing w:before="0" w:after="240"/>
        <w:ind w:left="20" w:right="20" w:firstLine="860"/>
      </w:pPr>
      <w:r>
        <w:rPr>
          <w:lang w:val="ru-RU" w:eastAsia="ru-RU" w:bidi="ru-RU"/>
          <w:w w:val="100"/>
          <w:spacing w:val="0"/>
          <w:color w:val="000000"/>
          <w:position w:val="0"/>
        </w:rPr>
        <w:t>- по количеству контрактов/договоров выполненных работ по уборке территории, за период с 01.01.2015 по дату окончания срока подачи заявок на участие в настоящем конкурсе.</w:t>
      </w:r>
    </w:p>
    <w:p>
      <w:pPr>
        <w:pStyle w:val="Style22"/>
        <w:numPr>
          <w:ilvl w:val="2"/>
          <w:numId w:val="1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w:t>
      </w:r>
      <w:r>
        <w:rPr>
          <w:rStyle w:val="CharStyle27"/>
          <w:b/>
          <w:bCs/>
        </w:rPr>
        <w:t>Показатель 2 (П2):</w:t>
      </w:r>
      <w:r>
        <w:rPr>
          <w:lang w:val="ru-RU" w:eastAsia="ru-RU" w:bidi="ru-RU"/>
          <w:w w:val="100"/>
          <w:spacing w:val="0"/>
          <w:color w:val="000000"/>
          <w:position w:val="0"/>
        </w:rPr>
        <w:t xml:space="preserve">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необходимых для выполнения работ по контракту выраженная в наличии их на праве собственности и (или) ином законном основании на срок выполнения работ по контракту.</w:t>
      </w:r>
    </w:p>
    <w:p>
      <w:pPr>
        <w:pStyle w:val="Style22"/>
        <w:widowControl w:val="0"/>
        <w:keepNext w:val="0"/>
        <w:keepLines w:val="0"/>
        <w:shd w:val="clear" w:color="auto" w:fill="auto"/>
        <w:bidi w:val="0"/>
        <w:jc w:val="both"/>
        <w:spacing w:before="0" w:after="0" w:line="250" w:lineRule="exact"/>
        <w:ind w:left="20" w:right="0" w:firstLine="860"/>
      </w:pPr>
      <w:r>
        <w:rPr>
          <w:lang w:val="ru-RU" w:eastAsia="ru-RU" w:bidi="ru-RU"/>
          <w:w w:val="100"/>
          <w:spacing w:val="0"/>
          <w:color w:val="000000"/>
          <w:position w:val="0"/>
        </w:rPr>
        <w:t>3.1.3. Показатель 3 (П3): Обеспеченность участника закупки трудовыми ресурсами, выраженная в</w:t>
      </w:r>
    </w:p>
    <w:p>
      <w:pPr>
        <w:pStyle w:val="Style22"/>
        <w:widowControl w:val="0"/>
        <w:keepNext w:val="0"/>
        <w:keepLines w:val="0"/>
        <w:shd w:val="clear" w:color="auto" w:fill="auto"/>
        <w:bidi w:val="0"/>
        <w:jc w:val="both"/>
        <w:spacing w:before="0" w:after="0" w:line="250" w:lineRule="exact"/>
        <w:ind w:left="20" w:right="0" w:firstLine="0"/>
      </w:pPr>
      <w:r>
        <w:rPr>
          <w:lang w:val="ru-RU" w:eastAsia="ru-RU" w:bidi="ru-RU"/>
          <w:w w:val="100"/>
          <w:spacing w:val="0"/>
          <w:color w:val="000000"/>
          <w:position w:val="0"/>
        </w:rPr>
        <w:t>наличии:</w:t>
      </w:r>
    </w:p>
    <w:p>
      <w:pPr>
        <w:pStyle w:val="Style22"/>
        <w:numPr>
          <w:ilvl w:val="0"/>
          <w:numId w:val="7"/>
        </w:numPr>
        <w:widowControl w:val="0"/>
        <w:keepNext w:val="0"/>
        <w:keepLines w:val="0"/>
        <w:shd w:val="clear" w:color="auto" w:fill="auto"/>
        <w:bidi w:val="0"/>
        <w:jc w:val="both"/>
        <w:spacing w:before="0" w:after="0" w:line="250" w:lineRule="exact"/>
        <w:ind w:left="20" w:right="0" w:firstLine="860"/>
      </w:pPr>
      <w:r>
        <w:rPr>
          <w:lang w:val="ru-RU" w:eastAsia="ru-RU" w:bidi="ru-RU"/>
          <w:w w:val="100"/>
          <w:spacing w:val="0"/>
          <w:color w:val="000000"/>
          <w:position w:val="0"/>
        </w:rPr>
        <w:t xml:space="preserve"> не менее 5 специалистов и/или рабочих по комплексному обслуживанию территории-15 баллов;</w:t>
      </w:r>
    </w:p>
    <w:p>
      <w:pPr>
        <w:pStyle w:val="Style22"/>
        <w:numPr>
          <w:ilvl w:val="0"/>
          <w:numId w:val="7"/>
        </w:numPr>
        <w:widowControl w:val="0"/>
        <w:keepNext w:val="0"/>
        <w:keepLines w:val="0"/>
        <w:shd w:val="clear" w:color="auto" w:fill="auto"/>
        <w:bidi w:val="0"/>
        <w:jc w:val="both"/>
        <w:spacing w:before="0" w:after="176" w:line="250" w:lineRule="exact"/>
        <w:ind w:left="20" w:right="20" w:firstLine="860"/>
      </w:pPr>
      <w:r>
        <w:rPr>
          <w:lang w:val="ru-RU" w:eastAsia="ru-RU" w:bidi="ru-RU"/>
          <w:w w:val="100"/>
          <w:spacing w:val="0"/>
          <w:color w:val="000000"/>
          <w:position w:val="0"/>
        </w:rPr>
        <w:t xml:space="preserve"> не менее 2-х ключевых специалистов с высшим профильным образованием, имеющих необходимое образование, обладающих соответствующей квалификацией для осуществления планирования работ и обеспечения надлежащего исполнения работ по специальностям «Аргоном» и/или «Градостроительство» с квалификацией «Архитектор» -15 баллов.</w:t>
      </w:r>
    </w:p>
    <w:p>
      <w:pPr>
        <w:pStyle w:val="Style22"/>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Сведения, подтверждающие квалификации по Показателю 3, подтверждаются прилагаемым к заявке участника закупки, копиями документов: штатного расписания участника или наличием трудовых договоров, подтверждающей факт наличия сотрудников у участника закупки, дипломов об окончании высшего учебного заведения.</w:t>
      </w:r>
    </w:p>
    <w:p>
      <w:pPr>
        <w:pStyle w:val="Style22"/>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 xml:space="preserve">Отсутствие документов, подтверждающих квалификацию участника, не является основанием для отклонения заявки участника. </w:t>
      </w:r>
      <w:r>
        <w:rPr>
          <w:rStyle w:val="CharStyle24"/>
          <w:b w:val="0"/>
          <w:bCs w:val="0"/>
        </w:rPr>
        <w:t>...»</w:t>
      </w:r>
      <w:r>
        <w:rPr>
          <w:rStyle w:val="CharStyle25"/>
          <w:b w:val="0"/>
          <w:bCs w:val="0"/>
        </w:rPr>
        <w:t xml:space="preserve"> (цитата Конкурсной документации).</w:t>
      </w:r>
    </w:p>
    <w:p>
      <w:pPr>
        <w:pStyle w:val="Style7"/>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Пунктом 10 Правил от 28.11.2013 №1085 установлено, что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7"/>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На заседании Комиссии представители Заказчика пояснили, что указанные Заявителем доводы касаются критериев оценки заявок участников Конкурса, установленные Заказчиком в соответствии с требованиями Закона о контрактной системе и Правил от 28.11.2013 №1085.</w:t>
      </w:r>
    </w:p>
    <w:p>
      <w:pPr>
        <w:pStyle w:val="Style7"/>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Комиссия, изучив Конкурсную документацию, приходит к выводу, что действия Заказчика по установлению критерием оценки заявок участников Конкурса не противоречат Закону о контрактной системе, Правилам от 28.11.2013 №1085.</w:t>
      </w:r>
    </w:p>
    <w:p>
      <w:pPr>
        <w:pStyle w:val="Style7"/>
        <w:widowControl w:val="0"/>
        <w:keepNext w:val="0"/>
        <w:keepLines w:val="0"/>
        <w:shd w:val="clear" w:color="auto" w:fill="auto"/>
        <w:bidi w:val="0"/>
        <w:jc w:val="both"/>
        <w:spacing w:before="0" w:after="56" w:line="317" w:lineRule="exact"/>
        <w:ind w:left="20" w:right="0" w:firstLine="860"/>
      </w:pPr>
      <w:r>
        <w:rPr>
          <w:lang w:val="ru-RU" w:eastAsia="ru-RU" w:bidi="ru-RU"/>
          <w:w w:val="100"/>
          <w:spacing w:val="0"/>
          <w:color w:val="000000"/>
          <w:position w:val="0"/>
        </w:rPr>
        <w:t>Таким образом, данный довод Заявителя не нашел своего подтверждения.</w:t>
      </w:r>
    </w:p>
    <w:p>
      <w:pPr>
        <w:pStyle w:val="Style7"/>
        <w:numPr>
          <w:ilvl w:val="0"/>
          <w:numId w:val="9"/>
        </w:numPr>
        <w:tabs>
          <w:tab w:leader="none" w:pos="1441"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качестве доводов жалобы Заявитель указывает на то, что Заказчиком установлены разные даты и время окончания подачи заявок на участие в Конкурсе и вскрытия конвертов с заявками участников Конкурса.</w:t>
      </w:r>
    </w:p>
    <w:p>
      <w:pPr>
        <w:pStyle w:val="Style7"/>
        <w:tabs>
          <w:tab w:leader="none" w:pos="4458" w:val="right"/>
          <w:tab w:leader="none" w:pos="8902" w:val="righ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части 10 статьи 51 Закона о контрактной системе прием заявок на участие в открытом конкурсе прекращается с наступлением срока вскрытия конвертов с</w:t>
        <w:tab/>
        <w:t>заявками на участие в открытом конкурсе</w:t>
        <w:tab/>
        <w:t>или открытия доступа к</w:t>
      </w:r>
    </w:p>
    <w:p>
      <w:pPr>
        <w:pStyle w:val="Style7"/>
        <w:tabs>
          <w:tab w:leader="none" w:pos="4458" w:val="right"/>
          <w:tab w:leader="none" w:pos="4600" w:val="left"/>
          <w:tab w:leader="none" w:pos="8902" w:val="right"/>
          <w:tab w:leader="none" w:pos="10207" w:val="righ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поданным в</w:t>
        <w:tab/>
        <w:t>форме электронных</w:t>
        <w:tab/>
        <w:t>документов заявкам</w:t>
        <w:tab/>
        <w:t>на участие в</w:t>
        <w:tab/>
        <w:t>открытом</w:t>
      </w:r>
    </w:p>
    <w:p>
      <w:pPr>
        <w:pStyle w:val="Style7"/>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конкурсе.</w:t>
      </w:r>
    </w:p>
    <w:p>
      <w:pPr>
        <w:pStyle w:val="Style7"/>
        <w:tabs>
          <w:tab w:leader="none" w:pos="4458" w:val="right"/>
          <w:tab w:leader="none" w:pos="4605" w:val="left"/>
          <w:tab w:leader="none" w:pos="10207" w:val="righ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1 статьи 52 Закона о контрактной системе конкурсная комиссия вскрывает конверты с заявками на участие в открытом конкурсе и (или) открывает доступ к поданным в форме электронных документов заявкам на участие в открытом конкурсе после наступления срока, указанного в конкурсной документации в качестве срока подачи заявок на участие в конкурсе. Конверты с заявками на</w:t>
        <w:tab/>
        <w:t>участие в открытом</w:t>
        <w:tab/>
        <w:t>конкурсе вскрываются, открывается</w:t>
        <w:tab/>
        <w:t>доступ к</w:t>
      </w:r>
    </w:p>
    <w:p>
      <w:pPr>
        <w:pStyle w:val="Style7"/>
        <w:tabs>
          <w:tab w:leader="none" w:pos="4458" w:val="right"/>
          <w:tab w:leader="none" w:pos="4600" w:val="left"/>
          <w:tab w:leader="none" w:pos="8902" w:val="right"/>
          <w:tab w:leader="none" w:pos="10207" w:val="righ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поданным в</w:t>
        <w:tab/>
        <w:t>форме электронных</w:t>
        <w:tab/>
        <w:t>документов заявкам</w:t>
        <w:tab/>
        <w:t>на участие в</w:t>
        <w:tab/>
        <w:t>открытом</w:t>
      </w:r>
    </w:p>
    <w:p>
      <w:pPr>
        <w:pStyle w:val="Style7"/>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конкурсе публично во время, в месте, в порядке и в соответствии с процедурами, которые указаны в конкурсной документации. Вскрытие всех поступивших конвертов с заявками на участие в открытом конкурсе и открытие доступа к поданным в форме электронных документов заявкам на участие в таком конкурсе осуществляются в один день.</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Заказчик в извещении об осуществлении закупки, Конкурсной документации, размещенных на официальном сайте, установил дату и время окончания подачи заявок на 12:00 09.11.2017. Вместе с тем, Заказчик дату и время вскрытия конвертов с заявками и (или) открытия доступа к поданным в форме электронных документов заявкам определил на 13.11.2017 в 09:00.</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Учитывая изложенное, действия Заказчика по установлению ненадлежащей даты и время вскрытия конвертов с заявками участников Конкурса нарушают требования части 10 статьи 51, части 1 статьи 52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60" w:line="322" w:lineRule="exact"/>
        <w:ind w:left="20" w:right="0" w:firstLine="860"/>
      </w:pPr>
      <w:r>
        <w:rPr>
          <w:lang w:val="ru-RU" w:eastAsia="ru-RU" w:bidi="ru-RU"/>
          <w:w w:val="100"/>
          <w:spacing w:val="0"/>
          <w:color w:val="000000"/>
          <w:position w:val="0"/>
        </w:rPr>
        <w:t>Таким образом, данный довод Заявителя нашел свое подтверждение.</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В соответствии с частью 4 статьи 49 Закона о контрактной системе заказчик вправе принять решение о внесении изменений в извещение о проведении открытого конкурса не позднее чем за пять дней до даты окончания срока подачи заявок на участие в открытом конкурсе. Изменение объекта закупки и увеличение размера обеспечения заявок на участие в открытом конкурсе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При этом срок подачи заявок на участие в открытом конкурсе должен быть продлен таким образом, чтобы с даты размещения таких изменений до даты окончания срока подачи заявок на участие в открытом конкурсе этот срок составлял не менее чем десять рабочих дней, или, если в извещение о проведении открытого конкурса такие изменения вносятся в отношении конкретного лота, срок подачи заявок на участие в открытом конкурсе в отношении конкретного лота должен быть продлен.</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Комиссией установлено, что Заказчик 04.11.2017 разместил на официальном сайте Конкурсную документацию с внесенными изменениями. При этом, срок окончания подачи заявки на участие в Конкурсе, установленный на 09.11.2017 12:00, Заказчик не продлил.</w:t>
      </w: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Таким образом, данные действия Заказчика нарушают требования части 4 статьи 49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8 статьи 7.30 Кодекса Российской Федерации об административных правонарушениях.</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В силу части 2 статьи 51 Закона о контрактной системе участник открытого конкурса подает в письменной форме заявку на участие в открытом конкурсе в запечатанном конверте, не позволяющем просматривать содержание заявки до вскрытия, или в форме электронного документа (если такая форма подачи заявки допускается конкурсной документацией). Примерная форма заявки на участие в открытом конкурсе может указываться в типовой конкурсной документации.</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Согласно пункту 5 части 2 статьи 51 Закона о контрактной системе заявка на</w:t>
      </w:r>
    </w:p>
    <w:p>
      <w:pPr>
        <w:pStyle w:val="Style7"/>
        <w:tabs>
          <w:tab w:leader="none" w:pos="4243" w:val="left"/>
        </w:tabs>
        <w:widowControl w:val="0"/>
        <w:keepNext w:val="0"/>
        <w:keepLines w:val="0"/>
        <w:shd w:val="clear" w:color="auto" w:fill="auto"/>
        <w:bidi w:val="0"/>
        <w:jc w:val="both"/>
        <w:spacing w:before="0" w:after="0" w:line="322" w:lineRule="exact"/>
        <w:ind w:left="120" w:right="20" w:firstLine="0"/>
      </w:pPr>
      <w:r>
        <w:rPr>
          <w:lang w:val="ru-RU" w:eastAsia="ru-RU" w:bidi="ru-RU"/>
          <w:w w:val="100"/>
          <w:spacing w:val="0"/>
          <w:color w:val="000000"/>
          <w:position w:val="0"/>
        </w:rPr>
        <w:t>участие в открытом конкурсе должна содержать всю указанную заказчиком в конкурсной документации информацию, а именно: документы, подтверждающие внесение обеспечения заявки на участие в открытом конкурсе (платежное поручение, подтверждающее</w:t>
        <w:tab/>
        <w:t>перечисление денежных средств в качестве</w:t>
      </w:r>
    </w:p>
    <w:p>
      <w:pPr>
        <w:pStyle w:val="Style7"/>
        <w:widowControl w:val="0"/>
        <w:keepNext w:val="0"/>
        <w:keepLines w:val="0"/>
        <w:shd w:val="clear" w:color="auto" w:fill="auto"/>
        <w:bidi w:val="0"/>
        <w:jc w:val="both"/>
        <w:spacing w:before="0" w:after="0" w:line="322" w:lineRule="exact"/>
        <w:ind w:left="120" w:right="20" w:firstLine="0"/>
      </w:pPr>
      <w:r>
        <w:rPr>
          <w:lang w:val="ru-RU" w:eastAsia="ru-RU" w:bidi="ru-RU"/>
          <w:w w:val="100"/>
          <w:spacing w:val="0"/>
          <w:color w:val="000000"/>
          <w:position w:val="0"/>
        </w:rPr>
        <w:t>обеспечения заявки на участие в открытом конкурсе, или копия этого платежного поручения либо банковская гарантия, соответствующая требованиям статьи 45 настоящего Федерального закона);</w:t>
      </w:r>
    </w:p>
    <w:p>
      <w:pPr>
        <w:pStyle w:val="Style7"/>
        <w:widowControl w:val="0"/>
        <w:keepNext w:val="0"/>
        <w:keepLines w:val="0"/>
        <w:shd w:val="clear" w:color="auto" w:fill="auto"/>
        <w:bidi w:val="0"/>
        <w:jc w:val="both"/>
        <w:spacing w:before="0" w:after="0" w:line="322" w:lineRule="exact"/>
        <w:ind w:left="120" w:right="0" w:firstLine="860"/>
      </w:pPr>
      <w:r>
        <w:rPr>
          <w:lang w:val="ru-RU" w:eastAsia="ru-RU" w:bidi="ru-RU"/>
          <w:w w:val="100"/>
          <w:spacing w:val="0"/>
          <w:color w:val="000000"/>
          <w:position w:val="0"/>
        </w:rPr>
        <w:t xml:space="preserve">Заказчик в Конкурсной документации в требованиях к заявке установил: </w:t>
      </w:r>
      <w:r>
        <w:rPr>
          <w:rStyle w:val="CharStyle28"/>
        </w:rPr>
        <w:t>«...</w:t>
      </w:r>
    </w:p>
    <w:p>
      <w:pPr>
        <w:pStyle w:val="Style22"/>
        <w:widowControl w:val="0"/>
        <w:keepNext w:val="0"/>
        <w:keepLines w:val="0"/>
        <w:shd w:val="clear" w:color="auto" w:fill="auto"/>
        <w:bidi w:val="0"/>
        <w:jc w:val="both"/>
        <w:spacing w:before="0" w:after="0" w:line="274" w:lineRule="exact"/>
        <w:ind w:left="120" w:right="0" w:firstLine="860"/>
      </w:pPr>
      <w:r>
        <w:rPr>
          <w:lang w:val="ru-RU" w:eastAsia="ru-RU" w:bidi="ru-RU"/>
          <w:w w:val="100"/>
          <w:spacing w:val="0"/>
          <w:color w:val="000000"/>
          <w:position w:val="0"/>
        </w:rPr>
        <w:t>5.2. Подготовка заявки на участие в конкурсе</w:t>
      </w:r>
    </w:p>
    <w:p>
      <w:pPr>
        <w:pStyle w:val="Style22"/>
        <w:numPr>
          <w:ilvl w:val="0"/>
          <w:numId w:val="15"/>
        </w:numPr>
        <w:widowControl w:val="0"/>
        <w:keepNext w:val="0"/>
        <w:keepLines w:val="0"/>
        <w:shd w:val="clear" w:color="auto" w:fill="auto"/>
        <w:bidi w:val="0"/>
        <w:jc w:val="both"/>
        <w:spacing w:before="0" w:after="0" w:line="274" w:lineRule="exact"/>
        <w:ind w:left="120" w:right="20" w:firstLine="860"/>
      </w:pPr>
      <w:r>
        <w:rPr>
          <w:lang w:val="ru-RU" w:eastAsia="ru-RU" w:bidi="ru-RU"/>
          <w:w w:val="100"/>
          <w:spacing w:val="0"/>
          <w:color w:val="000000"/>
          <w:position w:val="0"/>
        </w:rPr>
        <w:t xml:space="preserve"> Участник конкурса должен заполнить и представить заявку на участие в конкурсе в срок и по форме, которые установлены в Конкурсной документации.</w:t>
      </w:r>
    </w:p>
    <w:p>
      <w:pPr>
        <w:pStyle w:val="Style22"/>
        <w:widowControl w:val="0"/>
        <w:keepNext w:val="0"/>
        <w:keepLines w:val="0"/>
        <w:shd w:val="clear" w:color="auto" w:fill="auto"/>
        <w:bidi w:val="0"/>
        <w:jc w:val="both"/>
        <w:spacing w:before="0" w:after="0" w:line="274" w:lineRule="exact"/>
        <w:ind w:left="120" w:right="20" w:firstLine="860"/>
      </w:pPr>
      <w:r>
        <w:rPr>
          <w:lang w:val="ru-RU" w:eastAsia="ru-RU" w:bidi="ru-RU"/>
          <w:w w:val="100"/>
          <w:spacing w:val="0"/>
          <w:color w:val="000000"/>
          <w:position w:val="0"/>
        </w:rPr>
        <w:t>Особенности содержания заявки на участие в конкурсе с ограниченным участием установлены подразделом 4.17 и пунктом 5.2.3. и разделом 7 «ОБРАЗЦЫ ФОРМ И ДОКУМЕНТОВ ДЛЯ ЗАПОЛНЕНИЯ УЧАСТНИКАМИ» Конкурсной документации.</w:t>
      </w:r>
    </w:p>
    <w:p>
      <w:pPr>
        <w:pStyle w:val="Style22"/>
        <w:numPr>
          <w:ilvl w:val="0"/>
          <w:numId w:val="15"/>
        </w:numPr>
        <w:widowControl w:val="0"/>
        <w:keepNext w:val="0"/>
        <w:keepLines w:val="0"/>
        <w:shd w:val="clear" w:color="auto" w:fill="auto"/>
        <w:bidi w:val="0"/>
        <w:jc w:val="both"/>
        <w:spacing w:before="0" w:after="256" w:line="274" w:lineRule="exact"/>
        <w:ind w:left="120" w:right="20" w:firstLine="860"/>
      </w:pPr>
      <w:r>
        <w:rPr>
          <w:lang w:val="ru-RU" w:eastAsia="ru-RU" w:bidi="ru-RU"/>
          <w:w w:val="100"/>
          <w:spacing w:val="0"/>
          <w:color w:val="000000"/>
          <w:position w:val="0"/>
        </w:rPr>
        <w:t xml:space="preserve"> Заявка на участие в конкурсе должна содержать должна содержать всю указанную Заказчиком в Конкурсной документации информацию, а именно:</w:t>
      </w:r>
    </w:p>
    <w:p>
      <w:pPr>
        <w:pStyle w:val="Style22"/>
        <w:widowControl w:val="0"/>
        <w:keepNext w:val="0"/>
        <w:keepLines w:val="0"/>
        <w:shd w:val="clear" w:color="auto" w:fill="auto"/>
        <w:bidi w:val="0"/>
        <w:jc w:val="both"/>
        <w:spacing w:before="0" w:after="0"/>
        <w:ind w:left="120" w:right="20" w:firstLine="860"/>
      </w:pPr>
      <w:r>
        <w:rPr>
          <w:lang w:val="ru-RU" w:eastAsia="ru-RU" w:bidi="ru-RU"/>
          <w:w w:val="100"/>
          <w:spacing w:val="0"/>
          <w:color w:val="000000"/>
          <w:position w:val="0"/>
        </w:rPr>
        <w:t>г) документы, подтверждающие внесение обеспечения заявки на участие в конкурсе (платежное поручение, подтверждающее перечисление денежных средств в качестве обеспечения заявки на</w:t>
      </w:r>
    </w:p>
    <w:p>
      <w:pPr>
        <w:pStyle w:val="Style7"/>
        <w:widowControl w:val="0"/>
        <w:keepNext w:val="0"/>
        <w:keepLines w:val="0"/>
        <w:shd w:val="clear" w:color="auto" w:fill="auto"/>
        <w:bidi w:val="0"/>
        <w:jc w:val="both"/>
        <w:spacing w:before="0" w:after="298" w:line="322" w:lineRule="exact"/>
        <w:ind w:left="120" w:right="20" w:firstLine="0"/>
      </w:pPr>
      <w:r>
        <w:rPr>
          <w:lang w:val="ru-RU" w:eastAsia="ru-RU" w:bidi="ru-RU"/>
          <w:w w:val="100"/>
          <w:spacing w:val="0"/>
          <w:color w:val="000000"/>
          <w:position w:val="0"/>
        </w:rPr>
        <w:t>участие в открытом конкурсе с отметкой банка, или заверенная банком копия этого платежного поручения, либо включенная в реестр банковских гарантий банковская гарантия .</w:t>
      </w:r>
    </w:p>
    <w:p>
      <w:pPr>
        <w:pStyle w:val="Style22"/>
        <w:widowControl w:val="0"/>
        <w:keepNext w:val="0"/>
        <w:keepLines w:val="0"/>
        <w:shd w:val="clear" w:color="auto" w:fill="auto"/>
        <w:bidi w:val="0"/>
        <w:jc w:val="left"/>
        <w:spacing w:before="0" w:after="0" w:line="250" w:lineRule="exact"/>
        <w:ind w:left="1680" w:right="0" w:firstLine="0"/>
      </w:pPr>
      <w:r>
        <w:rPr>
          <w:lang w:val="ru-RU" w:eastAsia="ru-RU" w:bidi="ru-RU"/>
          <w:w w:val="100"/>
          <w:spacing w:val="0"/>
          <w:color w:val="000000"/>
          <w:position w:val="0"/>
        </w:rPr>
        <w:t>7.ОБРАЗЦЫ ФОРМ И ДОКУМЕНТОВ ДЛЯ ЗАПОЛНЕНИЯ УЧАСТНИКАМИ</w:t>
      </w:r>
    </w:p>
    <w:p>
      <w:pPr>
        <w:pStyle w:val="Style22"/>
        <w:numPr>
          <w:ilvl w:val="0"/>
          <w:numId w:val="17"/>
        </w:numPr>
        <w:tabs>
          <w:tab w:leader="none" w:pos="4821" w:val="left"/>
        </w:tabs>
        <w:widowControl w:val="0"/>
        <w:keepNext w:val="0"/>
        <w:keepLines w:val="0"/>
        <w:shd w:val="clear" w:color="auto" w:fill="auto"/>
        <w:bidi w:val="0"/>
        <w:jc w:val="both"/>
        <w:spacing w:before="0" w:after="0" w:line="250" w:lineRule="exact"/>
        <w:ind w:left="3760" w:right="0" w:firstLine="0"/>
      </w:pPr>
      <w:r>
        <w:rPr>
          <w:lang w:val="ru-RU" w:eastAsia="ru-RU" w:bidi="ru-RU"/>
          <w:w w:val="100"/>
          <w:spacing w:val="0"/>
          <w:color w:val="000000"/>
          <w:position w:val="0"/>
        </w:rPr>
        <w:t>Форма «ОПИСЬ ДОКУМЕНТОВ»</w:t>
      </w:r>
    </w:p>
    <w:p>
      <w:pPr>
        <w:pStyle w:val="Style22"/>
        <w:tabs>
          <w:tab w:leader="underscore" w:pos="9706" w:val="left"/>
        </w:tabs>
        <w:widowControl w:val="0"/>
        <w:keepNext w:val="0"/>
        <w:keepLines w:val="0"/>
        <w:shd w:val="clear" w:color="auto" w:fill="auto"/>
        <w:bidi w:val="0"/>
        <w:jc w:val="both"/>
        <w:spacing w:before="0" w:after="0" w:line="250" w:lineRule="exact"/>
        <w:ind w:left="120" w:right="0" w:firstLine="860"/>
      </w:pPr>
      <w:r>
        <w:rPr>
          <w:lang w:val="ru-RU" w:eastAsia="ru-RU" w:bidi="ru-RU"/>
          <w:w w:val="100"/>
          <w:spacing w:val="0"/>
          <w:color w:val="000000"/>
          <w:position w:val="0"/>
        </w:rPr>
        <w:t>Настоящим</w:t>
        <w:tab/>
      </w:r>
    </w:p>
    <w:p>
      <w:pPr>
        <w:pStyle w:val="Style29"/>
        <w:widowControl w:val="0"/>
        <w:keepNext w:val="0"/>
        <w:keepLines w:val="0"/>
        <w:shd w:val="clear" w:color="auto" w:fill="auto"/>
        <w:bidi w:val="0"/>
        <w:spacing w:before="0" w:after="0"/>
        <w:ind w:left="120" w:right="0"/>
      </w:pPr>
      <w:r>
        <w:rPr>
          <w:lang w:val="ru-RU" w:eastAsia="ru-RU" w:bidi="ru-RU"/>
          <w:w w:val="100"/>
          <w:spacing w:val="0"/>
          <w:color w:val="000000"/>
          <w:position w:val="0"/>
        </w:rPr>
        <w:t>(наименование юридического лица или Ф.И.О. Участника закупки)</w:t>
      </w:r>
    </w:p>
    <w:p>
      <w:pPr>
        <w:pStyle w:val="Style22"/>
        <w:tabs>
          <w:tab w:leader="underscore" w:pos="5904" w:val="right"/>
          <w:tab w:leader="none" w:pos="6064" w:val="left"/>
        </w:tabs>
        <w:widowControl w:val="0"/>
        <w:keepNext w:val="0"/>
        <w:keepLines w:val="0"/>
        <w:shd w:val="clear" w:color="auto" w:fill="auto"/>
        <w:bidi w:val="0"/>
        <w:jc w:val="left"/>
        <w:spacing w:before="0" w:after="190" w:line="250" w:lineRule="exact"/>
        <w:ind w:left="120" w:right="740" w:firstLine="860"/>
      </w:pPr>
      <w:r>
        <w:rPr>
          <w:lang w:val="ru-RU" w:eastAsia="ru-RU" w:bidi="ru-RU"/>
          <w:w w:val="100"/>
          <w:spacing w:val="0"/>
          <w:color w:val="000000"/>
          <w:position w:val="0"/>
        </w:rPr>
        <w:t>подтверждает, что для участия в открытом конкурсе на право заключения государственного контракта на выполнение</w:t>
        <w:tab/>
        <w:t>направляются</w:t>
        <w:tab/>
        <w:t>нижеперечисленные документы:</w:t>
      </w:r>
    </w:p>
    <w:tbl>
      <w:tblPr>
        <w:tblOverlap w:val="never"/>
        <w:tblLayout w:type="fixed"/>
        <w:jc w:val="center"/>
      </w:tblPr>
      <w:tblGrid>
        <w:gridCol w:w="682"/>
        <w:gridCol w:w="6662"/>
        <w:gridCol w:w="1699"/>
        <w:gridCol w:w="1147"/>
      </w:tblGrid>
      <w:tr>
        <w:trPr>
          <w:trHeight w:val="773" w:hRule="exact"/>
        </w:trPr>
        <w:tc>
          <w:tcPr>
            <w:shd w:val="clear" w:color="auto" w:fill="FFFFFF"/>
            <w:tcBorders>
              <w:left w:val="single" w:sz="4"/>
              <w:top w:val="single" w:sz="4"/>
            </w:tcBorders>
            <w:vAlign w:val="top"/>
          </w:tcPr>
          <w:p>
            <w:pPr>
              <w:pStyle w:val="Style7"/>
              <w:framePr w:w="10190" w:wrap="notBeside" w:vAnchor="text" w:hAnchor="text" w:xAlign="center" w:y="1"/>
              <w:widowControl w:val="0"/>
              <w:keepNext w:val="0"/>
              <w:keepLines w:val="0"/>
              <w:shd w:val="clear" w:color="auto" w:fill="auto"/>
              <w:bidi w:val="0"/>
              <w:jc w:val="left"/>
              <w:spacing w:before="0" w:after="60" w:line="200" w:lineRule="exact"/>
              <w:ind w:left="140" w:right="0" w:firstLine="0"/>
            </w:pPr>
            <w:r>
              <w:rPr>
                <w:rStyle w:val="CharStyle26"/>
              </w:rPr>
              <w:t>№№</w:t>
            </w:r>
          </w:p>
          <w:p>
            <w:pPr>
              <w:pStyle w:val="Style7"/>
              <w:framePr w:w="10190" w:wrap="notBeside" w:vAnchor="text" w:hAnchor="text" w:xAlign="center" w:y="1"/>
              <w:widowControl w:val="0"/>
              <w:keepNext w:val="0"/>
              <w:keepLines w:val="0"/>
              <w:shd w:val="clear" w:color="auto" w:fill="auto"/>
              <w:bidi w:val="0"/>
              <w:jc w:val="left"/>
              <w:spacing w:before="60" w:after="0" w:line="200" w:lineRule="exact"/>
              <w:ind w:left="140" w:right="0" w:firstLine="0"/>
            </w:pPr>
            <w:r>
              <w:rPr>
                <w:rStyle w:val="CharStyle26"/>
              </w:rPr>
              <w:t>п/п</w:t>
            </w:r>
          </w:p>
        </w:tc>
        <w:tc>
          <w:tcPr>
            <w:shd w:val="clear" w:color="auto" w:fill="FFFFFF"/>
            <w:tcBorders>
              <w:left w:val="single" w:sz="4"/>
              <w:top w:val="single" w:sz="4"/>
            </w:tcBorders>
            <w:vAlign w:val="top"/>
          </w:tcPr>
          <w:p>
            <w:pPr>
              <w:pStyle w:val="Style7"/>
              <w:framePr w:w="10190" w:wrap="notBeside" w:vAnchor="text" w:hAnchor="text" w:xAlign="center" w:y="1"/>
              <w:widowControl w:val="0"/>
              <w:keepNext w:val="0"/>
              <w:keepLines w:val="0"/>
              <w:shd w:val="clear" w:color="auto" w:fill="auto"/>
              <w:bidi w:val="0"/>
              <w:jc w:val="both"/>
              <w:spacing w:before="0" w:after="0" w:line="200" w:lineRule="exact"/>
              <w:ind w:left="0" w:right="0" w:firstLine="0"/>
            </w:pPr>
            <w:r>
              <w:rPr>
                <w:rStyle w:val="CharStyle26"/>
              </w:rPr>
              <w:t>Наименование</w:t>
            </w:r>
          </w:p>
        </w:tc>
        <w:tc>
          <w:tcPr>
            <w:shd w:val="clear" w:color="auto" w:fill="FFFFFF"/>
            <w:tcBorders>
              <w:left w:val="single" w:sz="4"/>
              <w:top w:val="single" w:sz="4"/>
            </w:tcBorders>
            <w:vAlign w:val="top"/>
          </w:tcPr>
          <w:p>
            <w:pPr>
              <w:pStyle w:val="Style7"/>
              <w:framePr w:w="10190"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6"/>
              </w:rPr>
              <w:t>Номера страниц с ... по</w:t>
            </w:r>
          </w:p>
        </w:tc>
        <w:tc>
          <w:tcPr>
            <w:shd w:val="clear" w:color="auto" w:fill="FFFFFF"/>
            <w:tcBorders>
              <w:left w:val="single" w:sz="4"/>
              <w:right w:val="single" w:sz="4"/>
              <w:top w:val="single" w:sz="4"/>
            </w:tcBorders>
            <w:vAlign w:val="top"/>
          </w:tcPr>
          <w:p>
            <w:pPr>
              <w:pStyle w:val="Style7"/>
              <w:framePr w:w="10190" w:wrap="notBeside" w:vAnchor="text" w:hAnchor="text" w:xAlign="center" w:y="1"/>
              <w:widowControl w:val="0"/>
              <w:keepNext w:val="0"/>
              <w:keepLines w:val="0"/>
              <w:shd w:val="clear" w:color="auto" w:fill="auto"/>
              <w:bidi w:val="0"/>
              <w:jc w:val="left"/>
              <w:spacing w:before="0" w:after="120" w:line="200" w:lineRule="exact"/>
              <w:ind w:left="120" w:right="0" w:firstLine="0"/>
            </w:pPr>
            <w:r>
              <w:rPr>
                <w:rStyle w:val="CharStyle26"/>
              </w:rPr>
              <w:t>Кол-во</w:t>
            </w:r>
          </w:p>
          <w:p>
            <w:pPr>
              <w:pStyle w:val="Style7"/>
              <w:framePr w:w="10190" w:wrap="notBeside" w:vAnchor="text" w:hAnchor="text" w:xAlign="center" w:y="1"/>
              <w:widowControl w:val="0"/>
              <w:keepNext w:val="0"/>
              <w:keepLines w:val="0"/>
              <w:shd w:val="clear" w:color="auto" w:fill="auto"/>
              <w:bidi w:val="0"/>
              <w:jc w:val="left"/>
              <w:spacing w:before="120" w:after="0" w:line="200" w:lineRule="exact"/>
              <w:ind w:left="120" w:right="0" w:firstLine="0"/>
            </w:pPr>
            <w:r>
              <w:rPr>
                <w:rStyle w:val="CharStyle26"/>
              </w:rPr>
              <w:t>листов</w:t>
            </w:r>
          </w:p>
        </w:tc>
      </w:tr>
      <w:tr>
        <w:trPr>
          <w:trHeight w:val="264" w:hRule="exact"/>
        </w:trPr>
        <w:tc>
          <w:tcPr>
            <w:shd w:val="clear" w:color="auto" w:fill="FFFFFF"/>
            <w:tcBorders>
              <w:left w:val="single" w:sz="4"/>
              <w:top w:val="single" w:sz="4"/>
            </w:tcBorders>
            <w:vAlign w:val="bottom"/>
          </w:tcPr>
          <w:p>
            <w:pPr>
              <w:pStyle w:val="Style7"/>
              <w:framePr w:w="10190"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26"/>
              </w:rPr>
              <w:t>1.</w:t>
            </w:r>
          </w:p>
        </w:tc>
        <w:tc>
          <w:tcPr>
            <w:shd w:val="clear" w:color="auto" w:fill="FFFFFF"/>
            <w:tcBorders>
              <w:left w:val="single" w:sz="4"/>
              <w:top w:val="single" w:sz="4"/>
            </w:tcBorders>
            <w:vAlign w:val="bottom"/>
          </w:tcPr>
          <w:p>
            <w:pPr>
              <w:pStyle w:val="Style7"/>
              <w:framePr w:w="10190" w:wrap="notBeside" w:vAnchor="text" w:hAnchor="text" w:xAlign="center" w:y="1"/>
              <w:widowControl w:val="0"/>
              <w:keepNext w:val="0"/>
              <w:keepLines w:val="0"/>
              <w:shd w:val="clear" w:color="auto" w:fill="auto"/>
              <w:bidi w:val="0"/>
              <w:jc w:val="both"/>
              <w:spacing w:before="0" w:after="0" w:line="200" w:lineRule="exact"/>
              <w:ind w:left="0" w:right="0" w:firstLine="0"/>
            </w:pPr>
            <w:r>
              <w:rPr>
                <w:rStyle w:val="CharStyle26"/>
              </w:rPr>
              <w:t>Письмо-заявка на участие в конкурсе</w:t>
            </w:r>
          </w:p>
        </w:tc>
        <w:tc>
          <w:tcPr>
            <w:shd w:val="clear" w:color="auto" w:fill="FFFFFF"/>
            <w:tcBorders>
              <w:left w:val="single" w:sz="4"/>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90" w:wrap="notBeside" w:vAnchor="text" w:hAnchor="text" w:xAlign="center" w:y="1"/>
              <w:widowControl w:val="0"/>
              <w:rPr>
                <w:sz w:val="10"/>
                <w:szCs w:val="10"/>
              </w:rPr>
            </w:pPr>
          </w:p>
        </w:tc>
      </w:tr>
      <w:tr>
        <w:trPr>
          <w:trHeight w:val="259" w:hRule="exact"/>
        </w:trPr>
        <w:tc>
          <w:tcPr>
            <w:shd w:val="clear" w:color="auto" w:fill="FFFFFF"/>
            <w:tcBorders>
              <w:left w:val="single" w:sz="4"/>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90" w:wrap="notBeside" w:vAnchor="text" w:hAnchor="text" w:xAlign="center" w:y="1"/>
              <w:widowControl w:val="0"/>
              <w:rPr>
                <w:sz w:val="10"/>
                <w:szCs w:val="10"/>
              </w:rPr>
            </w:pPr>
          </w:p>
        </w:tc>
      </w:tr>
      <w:tr>
        <w:trPr>
          <w:trHeight w:val="1286" w:hRule="exact"/>
        </w:trPr>
        <w:tc>
          <w:tcPr>
            <w:shd w:val="clear" w:color="auto" w:fill="FFFFFF"/>
            <w:tcBorders>
              <w:left w:val="single" w:sz="4"/>
              <w:top w:val="single" w:sz="4"/>
              <w:bottom w:val="single" w:sz="4"/>
            </w:tcBorders>
            <w:vAlign w:val="top"/>
          </w:tcPr>
          <w:p>
            <w:pPr>
              <w:pStyle w:val="Style7"/>
              <w:framePr w:w="10190"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26"/>
              </w:rPr>
              <w:t>14.</w:t>
            </w:r>
          </w:p>
        </w:tc>
        <w:tc>
          <w:tcPr>
            <w:shd w:val="clear" w:color="auto" w:fill="FFFFFF"/>
            <w:tcBorders>
              <w:left w:val="single" w:sz="4"/>
              <w:top w:val="single" w:sz="4"/>
              <w:bottom w:val="single" w:sz="4"/>
            </w:tcBorders>
            <w:vAlign w:val="bottom"/>
          </w:tcPr>
          <w:p>
            <w:pPr>
              <w:pStyle w:val="Style7"/>
              <w:framePr w:w="10190"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26"/>
              </w:rPr>
              <w:t>Документы, подтверждающие внесение обеспечения заявки на участие в конкурсе (платежное поручение, подтверждающее перечисление денежных средств в качестве обеспечения заявки на участие в конкурсе с отметкой банка, или заверенная банком копия этого платежного поручения либо банковская гарантия)</w:t>
            </w:r>
          </w:p>
        </w:tc>
        <w:tc>
          <w:tcPr>
            <w:shd w:val="clear" w:color="auto" w:fill="FFFFFF"/>
            <w:tcBorders>
              <w:left w:val="single" w:sz="4"/>
              <w:top w:val="single" w:sz="4"/>
              <w:bottom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190" w:wrap="notBeside" w:vAnchor="text" w:hAnchor="text" w:xAlign="center" w:y="1"/>
              <w:widowControl w:val="0"/>
              <w:rPr>
                <w:sz w:val="10"/>
                <w:szCs w:val="10"/>
              </w:rPr>
            </w:pPr>
          </w:p>
        </w:tc>
      </w:tr>
    </w:tbl>
    <w:p>
      <w:pPr>
        <w:widowControl w:val="0"/>
        <w:rPr>
          <w:sz w:val="2"/>
          <w:szCs w:val="2"/>
        </w:rPr>
      </w:pPr>
    </w:p>
    <w:p>
      <w:pPr>
        <w:pStyle w:val="Style7"/>
        <w:widowControl w:val="0"/>
        <w:keepNext w:val="0"/>
        <w:keepLines w:val="0"/>
        <w:shd w:val="clear" w:color="auto" w:fill="auto"/>
        <w:bidi w:val="0"/>
        <w:jc w:val="both"/>
        <w:spacing w:before="0" w:after="0" w:line="260" w:lineRule="exact"/>
        <w:ind w:left="120" w:right="0" w:firstLine="860"/>
      </w:pPr>
      <w:r>
        <w:rPr>
          <w:lang w:val="ru-RU" w:eastAsia="ru-RU" w:bidi="ru-RU"/>
          <w:w w:val="100"/>
          <w:spacing w:val="0"/>
          <w:color w:val="000000"/>
          <w:position w:val="0"/>
        </w:rPr>
        <w:t>...» (цитаты).</w:t>
      </w:r>
    </w:p>
    <w:p>
      <w:pPr>
        <w:pStyle w:val="Style7"/>
        <w:widowControl w:val="0"/>
        <w:keepNext w:val="0"/>
        <w:keepLines w:val="0"/>
        <w:shd w:val="clear" w:color="auto" w:fill="auto"/>
        <w:bidi w:val="0"/>
        <w:jc w:val="both"/>
        <w:spacing w:before="0" w:after="289" w:line="322" w:lineRule="exact"/>
        <w:ind w:left="120" w:right="20" w:firstLine="860"/>
      </w:pPr>
      <w:r>
        <w:rPr>
          <w:lang w:val="ru-RU" w:eastAsia="ru-RU" w:bidi="ru-RU"/>
          <w:w w:val="100"/>
          <w:spacing w:val="0"/>
          <w:color w:val="000000"/>
          <w:position w:val="0"/>
        </w:rPr>
        <w:t>Таким образом, действия Заказчика, установившего в Конкурсной документации ненадлежащее требование к документам, подтверждающим внесение обеспечения заявки на участие в Конкурсе, нарушают требования пункта 5 части 2 статьи 51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0" w:line="260" w:lineRule="exact"/>
        <w:ind w:left="120" w:right="0" w:firstLine="860"/>
      </w:pPr>
      <w:r>
        <w:rPr>
          <w:lang w:val="ru-RU" w:eastAsia="ru-RU" w:bidi="ru-RU"/>
          <w:w w:val="100"/>
          <w:spacing w:val="0"/>
          <w:color w:val="000000"/>
          <w:position w:val="0"/>
        </w:rPr>
        <w:t>На основании изложенного, руководствуясь частями 15, 22 статьи 99, частью</w:t>
      </w:r>
    </w:p>
    <w:p>
      <w:pPr>
        <w:pStyle w:val="Style7"/>
        <w:widowControl w:val="0"/>
        <w:keepNext w:val="0"/>
        <w:keepLines w:val="0"/>
        <w:shd w:val="clear" w:color="auto" w:fill="auto"/>
        <w:bidi w:val="0"/>
        <w:jc w:val="both"/>
        <w:spacing w:before="0" w:after="233" w:line="326" w:lineRule="exact"/>
        <w:ind w:left="20" w:right="0" w:firstLine="0"/>
      </w:pPr>
      <w:r>
        <w:rPr>
          <w:lang w:val="ru-RU" w:eastAsia="ru-RU" w:bidi="ru-RU"/>
          <w:w w:val="100"/>
          <w:spacing w:val="0"/>
          <w:color w:val="000000"/>
          <w:position w:val="0"/>
        </w:rPr>
        <w:t>8 статьи 106 Закона о контрактной системе, пунктом 3.34 Административного регламента от 19.11.2014 №727/14, Комиссия</w:t>
      </w:r>
    </w:p>
    <w:p>
      <w:pPr>
        <w:pStyle w:val="Style7"/>
        <w:widowControl w:val="0"/>
        <w:keepNext w:val="0"/>
        <w:keepLines w:val="0"/>
        <w:shd w:val="clear" w:color="auto" w:fill="auto"/>
        <w:bidi w:val="0"/>
        <w:jc w:val="left"/>
        <w:spacing w:before="0" w:after="237" w:line="260" w:lineRule="exact"/>
        <w:ind w:left="4900" w:right="0" w:firstLine="0"/>
      </w:pPr>
      <w:r>
        <w:rPr>
          <w:lang w:val="ru-RU" w:eastAsia="ru-RU" w:bidi="ru-RU"/>
          <w:w w:val="100"/>
          <w:spacing w:val="0"/>
          <w:color w:val="000000"/>
          <w:position w:val="0"/>
        </w:rPr>
        <w:t>РЕШИЛА:</w:t>
      </w:r>
    </w:p>
    <w:p>
      <w:pPr>
        <w:pStyle w:val="Style7"/>
        <w:numPr>
          <w:ilvl w:val="0"/>
          <w:numId w:val="19"/>
        </w:numPr>
        <w:widowControl w:val="0"/>
        <w:keepNext w:val="0"/>
        <w:keepLines w:val="0"/>
        <w:shd w:val="clear" w:color="auto" w:fill="auto"/>
        <w:bidi w:val="0"/>
        <w:jc w:val="both"/>
        <w:spacing w:before="0" w:after="68" w:line="260" w:lineRule="exact"/>
        <w:ind w:left="2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7"/>
        <w:numPr>
          <w:ilvl w:val="0"/>
          <w:numId w:val="19"/>
        </w:numPr>
        <w:widowControl w:val="0"/>
        <w:keepNext w:val="0"/>
        <w:keepLines w:val="0"/>
        <w:shd w:val="clear" w:color="auto" w:fill="auto"/>
        <w:bidi w:val="0"/>
        <w:jc w:val="both"/>
        <w:spacing w:before="0" w:after="56" w:line="322" w:lineRule="exact"/>
        <w:ind w:left="20" w:right="0" w:firstLine="860"/>
      </w:pPr>
      <w:r>
        <w:rPr>
          <w:lang w:val="ru-RU" w:eastAsia="ru-RU" w:bidi="ru-RU"/>
          <w:w w:val="100"/>
          <w:spacing w:val="0"/>
          <w:color w:val="000000"/>
          <w:position w:val="0"/>
        </w:rPr>
        <w:t xml:space="preserve"> Признать Заказчика нарушившим требования части 4 статьи 49, части 10 статьи 51, части 1 статьи 52, пункта 5 части 2 статьи 51 Закона о контрактной системе.</w:t>
      </w:r>
    </w:p>
    <w:p>
      <w:pPr>
        <w:pStyle w:val="Style7"/>
        <w:numPr>
          <w:ilvl w:val="0"/>
          <w:numId w:val="19"/>
        </w:numPr>
        <w:widowControl w:val="0"/>
        <w:keepNext w:val="0"/>
        <w:keepLines w:val="0"/>
        <w:shd w:val="clear" w:color="auto" w:fill="auto"/>
        <w:bidi w:val="0"/>
        <w:jc w:val="both"/>
        <w:spacing w:before="0" w:after="64" w:line="326" w:lineRule="exact"/>
        <w:ind w:left="20" w:right="0" w:firstLine="860"/>
      </w:pPr>
      <w:r>
        <w:rPr>
          <w:lang w:val="ru-RU" w:eastAsia="ru-RU" w:bidi="ru-RU"/>
          <w:w w:val="100"/>
          <w:spacing w:val="0"/>
          <w:color w:val="000000"/>
          <w:position w:val="0"/>
        </w:rPr>
        <w:t xml:space="preserve"> Заказчику выдать предписание об устранении нарушения законодательства в сфере закупок.</w:t>
      </w:r>
    </w:p>
    <w:p>
      <w:pPr>
        <w:pStyle w:val="Style7"/>
        <w:numPr>
          <w:ilvl w:val="0"/>
          <w:numId w:val="19"/>
        </w:numPr>
        <w:tabs>
          <w:tab w:leader="none" w:pos="5161" w:val="left"/>
          <w:tab w:leader="none" w:pos="7346" w:val="center"/>
          <w:tab w:leader="none" w:pos="7848" w:val="left"/>
        </w:tabs>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Передать соответствующему</w:t>
        <w:tab/>
        <w:t>должностному</w:t>
        <w:tab/>
        <w:t>лицу</w:t>
        <w:tab/>
        <w:t>Крымского УФАС</w:t>
      </w:r>
    </w:p>
    <w:p>
      <w:pPr>
        <w:pStyle w:val="Style7"/>
        <w:tabs>
          <w:tab w:leader="none" w:pos="5178" w:val="left"/>
          <w:tab w:leader="none" w:pos="6906" w:val="center"/>
          <w:tab w:leader="none" w:pos="7862"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России материалы дела №06/4171-17 для</w:t>
        <w:tab/>
        <w:t>рассмотрения</w:t>
        <w:tab/>
        <w:t>вопроса</w:t>
        <w:tab/>
        <w:t>о возбуждении дела</w:t>
      </w:r>
    </w:p>
    <w:p>
      <w:pPr>
        <w:pStyle w:val="Style7"/>
        <w:widowControl w:val="0"/>
        <w:keepNext w:val="0"/>
        <w:keepLines w:val="0"/>
        <w:shd w:val="clear" w:color="auto" w:fill="auto"/>
        <w:bidi w:val="0"/>
        <w:jc w:val="both"/>
        <w:spacing w:before="0" w:after="56" w:line="322" w:lineRule="exact"/>
        <w:ind w:left="20" w:right="0" w:firstLine="0"/>
      </w:pPr>
      <w:r>
        <w:rPr>
          <w:lang w:val="ru-RU" w:eastAsia="ru-RU" w:bidi="ru-RU"/>
          <w:w w:val="100"/>
          <w:spacing w:val="0"/>
          <w:color w:val="000000"/>
          <w:position w:val="0"/>
        </w:rPr>
        <w:t>об административном правонарушении.</w:t>
      </w:r>
    </w:p>
    <w:p>
      <w:pPr>
        <w:pStyle w:val="Style7"/>
        <w:numPr>
          <w:ilvl w:val="0"/>
          <w:numId w:val="19"/>
        </w:numPr>
        <w:widowControl w:val="0"/>
        <w:keepNext w:val="0"/>
        <w:keepLines w:val="0"/>
        <w:shd w:val="clear" w:color="auto" w:fill="auto"/>
        <w:bidi w:val="0"/>
        <w:jc w:val="both"/>
        <w:spacing w:before="0" w:after="68" w:line="326" w:lineRule="exact"/>
        <w:ind w:left="20" w:right="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№06/12524.</w:t>
      </w:r>
    </w:p>
    <w:p>
      <w:pPr>
        <w:pStyle w:val="Style7"/>
        <w:widowControl w:val="0"/>
        <w:keepNext w:val="0"/>
        <w:keepLines w:val="0"/>
        <w:shd w:val="clear" w:color="auto" w:fill="auto"/>
        <w:bidi w:val="0"/>
        <w:jc w:val="both"/>
        <w:spacing w:before="0" w:after="339" w:line="317" w:lineRule="exact"/>
        <w:ind w:left="20" w:right="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7728"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 П. Казакова</w:t>
      </w:r>
    </w:p>
    <w:p>
      <w:pPr>
        <w:pStyle w:val="Style7"/>
        <w:tabs>
          <w:tab w:leader="none" w:pos="7728"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Члены Комиссии:</w:t>
        <w:tab/>
        <w:t>О. А. Шалимова</w:t>
      </w:r>
    </w:p>
    <w:p>
      <w:pPr>
        <w:pStyle w:val="Style7"/>
        <w:tabs>
          <w:tab w:leader="none" w:pos="8245" w:val="left"/>
        </w:tabs>
        <w:widowControl w:val="0"/>
        <w:keepNext w:val="0"/>
        <w:keepLines w:val="0"/>
        <w:shd w:val="clear" w:color="auto" w:fill="auto"/>
        <w:bidi w:val="0"/>
        <w:jc w:val="both"/>
        <w:spacing w:before="0" w:after="0" w:line="260" w:lineRule="exact"/>
        <w:ind w:left="7800" w:right="0" w:firstLine="0"/>
        <w:sectPr>
          <w:type w:val="continuous"/>
          <w:pgSz w:w="11906" w:h="16838"/>
          <w:pgMar w:top="1398" w:left="853" w:right="675" w:bottom="899" w:header="0" w:footer="3" w:gutter="0"/>
          <w:rtlGutter w:val="0"/>
          <w:cols w:space="720"/>
          <w:noEndnote/>
          <w:docGrid w:linePitch="360"/>
        </w:sectPr>
      </w:pPr>
      <w:r>
        <w:rPr>
          <w:lang w:val="ru-RU" w:eastAsia="ru-RU" w:bidi="ru-RU"/>
          <w:w w:val="100"/>
          <w:spacing w:val="0"/>
          <w:color w:val="000000"/>
          <w:position w:val="0"/>
        </w:rPr>
        <w:t>Н.</w:t>
        <w:tab/>
        <w:t>А. Баданин</w:t>
      </w:r>
    </w:p>
    <w:p>
      <w:pPr>
        <w:pStyle w:val="Style3"/>
        <w:framePr w:w="4835" w:h="2461" w:wrap="around" w:hAnchor="margin" w:x="-839" w:y="1255"/>
        <w:widowControl w:val="0"/>
        <w:keepNext w:val="0"/>
        <w:keepLines w:val="0"/>
        <w:shd w:val="clear" w:color="auto" w:fill="auto"/>
        <w:bidi w:val="0"/>
        <w:spacing w:before="0" w:after="173"/>
        <w:ind w:left="0" w:right="0" w:firstLine="0"/>
      </w:pPr>
      <w:r>
        <w:rPr>
          <w:rStyle w:val="CharStyle31"/>
          <w:b/>
          <w:bCs/>
        </w:rPr>
        <w:t>ФЕДЕРАЛЬНАЯ АНТИМОНОПОЛЬНАЯ СЛУЖБА</w:t>
      </w:r>
    </w:p>
    <w:p>
      <w:pPr>
        <w:pStyle w:val="Style3"/>
        <w:framePr w:w="4835" w:h="2461" w:wrap="around" w:hAnchor="margin" w:x="-839" w:y="1255"/>
        <w:widowControl w:val="0"/>
        <w:keepNext w:val="0"/>
        <w:keepLines w:val="0"/>
        <w:shd w:val="clear" w:color="auto" w:fill="auto"/>
        <w:bidi w:val="0"/>
        <w:spacing w:before="0" w:after="0" w:line="283" w:lineRule="exact"/>
        <w:ind w:left="0" w:right="0" w:firstLine="0"/>
      </w:pPr>
      <w:r>
        <w:rPr>
          <w:rStyle w:val="CharStyle31"/>
          <w:b/>
          <w:bCs/>
        </w:rPr>
        <w:t>УПРАВЛЕ</w:t>
      </w:r>
      <w:r>
        <w:rPr>
          <w:rStyle w:val="CharStyle32"/>
          <w:b/>
          <w:bCs/>
        </w:rPr>
        <w:t>НИ</w:t>
      </w:r>
      <w:r>
        <w:rPr>
          <w:rStyle w:val="CharStyle31"/>
          <w:b/>
          <w:bCs/>
        </w:rPr>
        <w:t>Е Федеральной антимонопольной службы по Республике Крым и городу Севастополю</w:t>
      </w:r>
    </w:p>
    <w:p>
      <w:pPr>
        <w:pStyle w:val="Style5"/>
        <w:framePr w:w="4835" w:h="2461" w:wrap="around" w:hAnchor="margin" w:x="-839" w:y="1255"/>
        <w:widowControl w:val="0"/>
        <w:keepNext w:val="0"/>
        <w:keepLines w:val="0"/>
        <w:shd w:val="clear" w:color="auto" w:fill="auto"/>
        <w:bidi w:val="0"/>
        <w:spacing w:before="0" w:after="0"/>
        <w:ind w:left="0" w:right="0" w:firstLine="0"/>
      </w:pPr>
      <w:r>
        <w:rPr>
          <w:rStyle w:val="CharStyle33"/>
        </w:rPr>
        <w:t xml:space="preserve">Адрес: ул. Александра Невского, д. 1, г. Симферополь, Республика Крым, 295000 тел. (3652) 544-638, факс (3652) 252-431 </w:t>
      </w:r>
      <w:r>
        <w:rPr>
          <w:rStyle w:val="CharStyle33"/>
          <w:lang w:val="en-US" w:eastAsia="en-US" w:bidi="en-US"/>
        </w:rPr>
        <w:t xml:space="preserve">e-mail: </w:t>
      </w:r>
      <w:r>
        <w:fldChar w:fldCharType="begin"/>
      </w:r>
      <w:r>
        <w:rPr>
          <w:rStyle w:val="CharStyle33"/>
        </w:rPr>
        <w:instrText> HYPERLINK "mailto:to82@fas.gov.ru" </w:instrText>
      </w:r>
      <w:r>
        <w:fldChar w:fldCharType="separate"/>
      </w:r>
      <w:r>
        <w:rPr>
          <w:rStyle w:val="Hyperlink"/>
          <w:lang w:val="en-US" w:eastAsia="en-US" w:bidi="en-US"/>
        </w:rPr>
        <w:t>to82@fas.gov.ru</w:t>
      </w:r>
      <w:r>
        <w:fldChar w:fldCharType="end"/>
      </w:r>
    </w:p>
    <w:p>
      <w:pPr>
        <w:pStyle w:val="Style7"/>
        <w:numPr>
          <w:ilvl w:val="0"/>
          <w:numId w:val="21"/>
        </w:numPr>
        <w:widowControl w:val="0"/>
        <w:keepNext w:val="0"/>
        <w:keepLines w:val="0"/>
        <w:shd w:val="clear" w:color="auto" w:fill="auto"/>
        <w:bidi w:val="0"/>
        <w:jc w:val="left"/>
        <w:spacing w:before="1080" w:after="0" w:line="322" w:lineRule="exact"/>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22" w:lineRule="exact"/>
        <w:ind w:left="0" w:right="300" w:firstLine="0"/>
      </w:pPr>
      <w:r>
        <w:rPr>
          <w:lang w:val="ru-RU" w:eastAsia="ru-RU" w:bidi="ru-RU"/>
          <w:w w:val="100"/>
          <w:spacing w:val="0"/>
          <w:color w:val="000000"/>
          <w:position w:val="0"/>
        </w:rPr>
        <w:t>Федеральное государственное бюджетное учреждение «Военный санаторий «Крым» Министерства обороны Российской Федерации</w:t>
      </w:r>
    </w:p>
    <w:p>
      <w:pPr>
        <w:pStyle w:val="Style7"/>
        <w:framePr w:w="2843" w:h="1122" w:wrap="around" w:vAnchor="text" w:hAnchor="margin" w:x="-897" w:y="-179"/>
        <w:widowControl w:val="0"/>
        <w:keepNext w:val="0"/>
        <w:keepLines w:val="0"/>
        <w:shd w:val="clear" w:color="auto" w:fill="auto"/>
        <w:bidi w:val="0"/>
        <w:jc w:val="both"/>
        <w:spacing w:before="0" w:after="0"/>
        <w:ind w:left="20" w:right="200" w:firstLine="0"/>
      </w:pPr>
      <w:r>
        <w:rPr>
          <w:rStyle w:val="CharStyle11"/>
          <w:spacing w:val="0"/>
        </w:rPr>
        <w:t>10.11.2017 №06/12874 На № б/н от 01.11.2017</w:t>
      </w:r>
    </w:p>
    <w:p>
      <w:pPr>
        <w:pStyle w:val="Style7"/>
        <w:widowControl w:val="0"/>
        <w:keepNext w:val="0"/>
        <w:keepLines w:val="0"/>
        <w:shd w:val="clear" w:color="auto" w:fill="auto"/>
        <w:bidi w:val="0"/>
        <w:jc w:val="left"/>
        <w:spacing w:before="0" w:after="289" w:line="322" w:lineRule="exact"/>
        <w:ind w:left="2240" w:right="840" w:firstLine="0"/>
      </w:pPr>
      <w:r>
        <w:rPr>
          <w:lang w:val="ru-RU" w:eastAsia="ru-RU" w:bidi="ru-RU"/>
          <w:w w:val="100"/>
          <w:spacing w:val="0"/>
          <w:color w:val="000000"/>
          <w:position w:val="0"/>
        </w:rPr>
        <w:t>298542, Республика Крым, г. Алушта, пгт. Партенит, ул. Санаторная,1</w:t>
      </w:r>
    </w:p>
    <w:p>
      <w:pPr>
        <w:pStyle w:val="Style7"/>
        <w:numPr>
          <w:ilvl w:val="0"/>
          <w:numId w:val="21"/>
        </w:numPr>
        <w:widowControl w:val="0"/>
        <w:keepNext w:val="0"/>
        <w:keepLines w:val="0"/>
        <w:shd w:val="clear" w:color="auto" w:fill="auto"/>
        <w:bidi w:val="0"/>
        <w:jc w:val="left"/>
        <w:spacing w:before="0" w:after="0" w:line="260" w:lineRule="exact"/>
        <w:ind w:left="41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260" w:lineRule="exact"/>
        <w:ind w:left="4180" w:right="0" w:firstLine="0"/>
      </w:pPr>
      <w:r>
        <w:rPr>
          <w:lang w:val="ru-RU" w:eastAsia="ru-RU" w:bidi="ru-RU"/>
          <w:w w:val="100"/>
          <w:spacing w:val="0"/>
          <w:color w:val="000000"/>
          <w:position w:val="0"/>
        </w:rPr>
        <w:t>ИП Дубровских И. А.</w:t>
      </w:r>
    </w:p>
    <w:p>
      <w:pPr>
        <w:pStyle w:val="Style7"/>
        <w:widowControl w:val="0"/>
        <w:keepNext w:val="0"/>
        <w:keepLines w:val="0"/>
        <w:shd w:val="clear" w:color="auto" w:fill="auto"/>
        <w:bidi w:val="0"/>
        <w:jc w:val="left"/>
        <w:spacing w:before="0" w:after="240" w:line="322" w:lineRule="exact"/>
        <w:ind w:left="4180" w:right="2040" w:firstLine="0"/>
      </w:pPr>
      <w:r>
        <w:rPr>
          <w:lang w:val="ru-RU" w:eastAsia="ru-RU" w:bidi="ru-RU"/>
          <w:w w:val="100"/>
          <w:spacing w:val="0"/>
          <w:color w:val="000000"/>
          <w:position w:val="0"/>
        </w:rPr>
        <w:t>299040, г. Севастополь, ул. М. Геловани, д. 4, кв. 41</w:t>
      </w:r>
    </w:p>
    <w:p>
      <w:pPr>
        <w:pStyle w:val="Style9"/>
        <w:widowControl w:val="0"/>
        <w:keepNext w:val="0"/>
        <w:keepLines w:val="0"/>
        <w:shd w:val="clear" w:color="auto" w:fill="auto"/>
        <w:bidi w:val="0"/>
        <w:jc w:val="left"/>
        <w:spacing w:before="0" w:after="289"/>
        <w:ind w:left="0" w:right="840" w:firstLine="3480"/>
      </w:pPr>
      <w:r>
        <w:rPr>
          <w:lang w:val="ru-RU" w:eastAsia="ru-RU" w:bidi="ru-RU"/>
          <w:w w:val="100"/>
          <w:spacing w:val="0"/>
          <w:color w:val="000000"/>
          <w:position w:val="0"/>
        </w:rPr>
        <w:t>Предписание по делу №06/4171-17 об устранении нарушений законодательства Российской Федерации о контрактной системе в сфере закупок</w:t>
      </w:r>
    </w:p>
    <w:p>
      <w:pPr>
        <w:pStyle w:val="Style7"/>
        <w:framePr w:h="240" w:wrap="around" w:vAnchor="text" w:hAnchor="margin" w:x="-522" w:y="6"/>
        <w:widowControl w:val="0"/>
        <w:keepNext w:val="0"/>
        <w:keepLines w:val="0"/>
        <w:shd w:val="clear" w:color="auto" w:fill="auto"/>
        <w:bidi w:val="0"/>
        <w:jc w:val="left"/>
        <w:spacing w:before="0" w:after="0" w:line="240" w:lineRule="exact"/>
        <w:ind w:left="0" w:right="0" w:firstLine="0"/>
      </w:pPr>
      <w:r>
        <w:rPr>
          <w:rStyle w:val="CharStyle11"/>
          <w:spacing w:val="0"/>
        </w:rPr>
        <w:t>08.11.2017</w:t>
      </w:r>
    </w:p>
    <w:p>
      <w:pPr>
        <w:pStyle w:val="Style7"/>
        <w:widowControl w:val="0"/>
        <w:keepNext w:val="0"/>
        <w:keepLines w:val="0"/>
        <w:shd w:val="clear" w:color="auto" w:fill="auto"/>
        <w:bidi w:val="0"/>
        <w:jc w:val="right"/>
        <w:spacing w:before="0" w:after="0" w:line="260" w:lineRule="exact"/>
        <w:ind w:left="0" w:right="300" w:firstLine="0"/>
        <w:sectPr>
          <w:pgSz w:w="11906" w:h="16838"/>
          <w:pgMar w:top="1464" w:left="1680" w:right="754" w:bottom="686" w:header="0" w:footer="3" w:gutter="0"/>
          <w:rtlGutter w:val="0"/>
          <w:cols w:space="720"/>
          <w:noEndnote/>
          <w:docGrid w:linePitch="360"/>
        </w:sectPr>
      </w:pPr>
      <w:r>
        <w:rPr>
          <w:lang w:val="ru-RU" w:eastAsia="ru-RU" w:bidi="ru-RU"/>
          <w:w w:val="100"/>
          <w:spacing w:val="0"/>
          <w:color w:val="000000"/>
          <w:position w:val="0"/>
        </w:rPr>
        <w:t>г. Симферополь</w:t>
      </w:r>
    </w:p>
    <w:p>
      <w:pPr>
        <w:widowControl w:val="0"/>
        <w:spacing w:before="6" w:after="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0" w:line="317" w:lineRule="exact"/>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left"/>
        <w:spacing w:before="0" w:after="286" w:line="317" w:lineRule="exact"/>
        <w:ind w:left="20" w:right="1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left"/>
        <w:spacing w:before="0" w:after="255" w:line="260" w:lineRule="exact"/>
        <w:ind w:left="20" w:right="0" w:firstLine="860"/>
      </w:pPr>
      <w:r>
        <w:rPr>
          <w:lang w:val="ru-RU" w:eastAsia="ru-RU" w:bidi="ru-RU"/>
          <w:w w:val="100"/>
          <w:spacing w:val="0"/>
          <w:color w:val="000000"/>
          <w:position w:val="0"/>
        </w:rPr>
        <w:t>членов Комиссии:</w:t>
      </w:r>
    </w:p>
    <w:p>
      <w:pPr>
        <w:pStyle w:val="Style7"/>
        <w:widowControl w:val="0"/>
        <w:keepNext w:val="0"/>
        <w:keepLines w:val="0"/>
        <w:shd w:val="clear" w:color="auto" w:fill="auto"/>
        <w:bidi w:val="0"/>
        <w:jc w:val="left"/>
        <w:spacing w:before="0" w:after="236" w:line="312" w:lineRule="exact"/>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w:t>
      </w:r>
    </w:p>
    <w:p>
      <w:pPr>
        <w:pStyle w:val="Style7"/>
        <w:widowControl w:val="0"/>
        <w:keepNext w:val="0"/>
        <w:keepLines w:val="0"/>
        <w:shd w:val="clear" w:color="auto" w:fill="auto"/>
        <w:bidi w:val="0"/>
        <w:jc w:val="left"/>
        <w:spacing w:before="0" w:after="56" w:line="317" w:lineRule="exact"/>
        <w:ind w:left="20" w:right="20" w:firstLine="860"/>
      </w:pPr>
      <w:r>
        <w:rPr>
          <w:lang w:val="ru-RU" w:eastAsia="ru-RU" w:bidi="ru-RU"/>
          <w:w w:val="100"/>
          <w:spacing w:val="0"/>
          <w:color w:val="000000"/>
          <w:position w:val="0"/>
        </w:rPr>
        <w:t>специалиста-эксперта отдела контроля рекламы и органов власти Крымского УФАС России Н. А. Баданина, —</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основании решения Комиссии от 08.11.2017 по делу №06/4171 -17 по итогам рассмотрения жалобы Заявителя 01.11.2017 б/н (вх. №1458/10 от 01.11.2017) на действия Заказчика при проведении открытого конкурса «Услуги по уборке и обслуживанию территории ФГБУ "Военный санаторий "Крым" Минобороны</w:t>
      </w:r>
      <w:r>
        <w:br w:type="page"/>
      </w:r>
    </w:p>
    <w:p>
      <w:pPr>
        <w:pStyle w:val="Style7"/>
        <w:widowControl w:val="0"/>
        <w:keepNext w:val="0"/>
        <w:keepLines w:val="0"/>
        <w:shd w:val="clear" w:color="auto" w:fill="auto"/>
        <w:bidi w:val="0"/>
        <w:jc w:val="both"/>
        <w:spacing w:before="0" w:after="289" w:line="322" w:lineRule="exact"/>
        <w:ind w:left="0" w:right="20" w:firstLine="0"/>
      </w:pPr>
      <w:r>
        <w:rPr>
          <w:lang w:val="ru-RU" w:eastAsia="ru-RU" w:bidi="ru-RU"/>
          <w:w w:val="100"/>
          <w:spacing w:val="0"/>
          <w:color w:val="000000"/>
          <w:position w:val="0"/>
        </w:rPr>
        <w:t>России» (извещение № 0375100002917000243) (далее - Конкурс),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2"/>
          <w:lang w:val="ru-RU" w:eastAsia="ru-RU" w:bidi="ru-RU"/>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center"/>
        <w:spacing w:before="0" w:after="248" w:line="260" w:lineRule="exact"/>
        <w:ind w:left="20" w:right="0" w:firstLine="0"/>
      </w:pPr>
      <w:r>
        <w:rPr>
          <w:lang w:val="ru-RU" w:eastAsia="ru-RU" w:bidi="ru-RU"/>
          <w:w w:val="100"/>
          <w:spacing w:val="0"/>
          <w:color w:val="000000"/>
          <w:position w:val="0"/>
        </w:rPr>
        <w:t>ПРЕДПИСЫВАЕТ:</w:t>
      </w:r>
    </w:p>
    <w:p>
      <w:pPr>
        <w:pStyle w:val="Style7"/>
        <w:numPr>
          <w:ilvl w:val="0"/>
          <w:numId w:val="23"/>
        </w:numPr>
        <w:widowControl w:val="0"/>
        <w:keepNext w:val="0"/>
        <w:keepLines w:val="0"/>
        <w:shd w:val="clear" w:color="auto" w:fill="auto"/>
        <w:bidi w:val="0"/>
        <w:jc w:val="both"/>
        <w:spacing w:before="0" w:after="244" w:line="322" w:lineRule="exact"/>
        <w:ind w:left="0" w:right="20" w:firstLine="860"/>
      </w:pPr>
      <w:r>
        <w:rPr>
          <w:lang w:val="ru-RU" w:eastAsia="ru-RU" w:bidi="ru-RU"/>
          <w:w w:val="100"/>
          <w:spacing w:val="0"/>
          <w:color w:val="000000"/>
          <w:position w:val="0"/>
        </w:rPr>
        <w:t xml:space="preserve"> Заказчику, Единой комиссии Заказчика в течение трех рабочих дней со дня размещения данного решения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lang w:val="en-US" w:eastAsia="en-US" w:bidi="en-US"/>
          <w:w w:val="100"/>
          <w:spacing w:val="0"/>
          <w:position w:val="0"/>
        </w:rPr>
        <w:t xml:space="preserve"> </w:t>
      </w:r>
      <w:r>
        <w:fldChar w:fldCharType="end"/>
      </w:r>
      <w:r>
        <w:rPr>
          <w:lang w:val="ru-RU" w:eastAsia="ru-RU" w:bidi="ru-RU"/>
          <w:w w:val="100"/>
          <w:spacing w:val="0"/>
          <w:color w:val="000000"/>
          <w:position w:val="0"/>
        </w:rPr>
        <w:t>(далее - официальный сайт) вернуть участникам закупки ранее поданные заявки на участие в Конкурсе и обеспечения заявок на участие в Конкурсе.</w:t>
      </w:r>
    </w:p>
    <w:p>
      <w:pPr>
        <w:pStyle w:val="Style7"/>
        <w:numPr>
          <w:ilvl w:val="0"/>
          <w:numId w:val="23"/>
        </w:numPr>
        <w:widowControl w:val="0"/>
        <w:keepNext w:val="0"/>
        <w:keepLines w:val="0"/>
        <w:shd w:val="clear" w:color="auto" w:fill="auto"/>
        <w:bidi w:val="0"/>
        <w:jc w:val="both"/>
        <w:spacing w:before="0" w:after="236" w:line="317" w:lineRule="exact"/>
        <w:ind w:left="0" w:right="20" w:firstLine="860"/>
      </w:pPr>
      <w:r>
        <w:rPr>
          <w:lang w:val="ru-RU" w:eastAsia="ru-RU" w:bidi="ru-RU"/>
          <w:w w:val="100"/>
          <w:spacing w:val="0"/>
          <w:color w:val="000000"/>
          <w:position w:val="0"/>
        </w:rPr>
        <w:t xml:space="preserve"> Заказчику в течение пяти рабочих дней со дня исполнения пункта 1 данного предписания:</w:t>
      </w:r>
    </w:p>
    <w:p>
      <w:pPr>
        <w:pStyle w:val="Style7"/>
        <w:numPr>
          <w:ilvl w:val="0"/>
          <w:numId w:val="7"/>
        </w:numPr>
        <w:widowControl w:val="0"/>
        <w:keepNext w:val="0"/>
        <w:keepLines w:val="0"/>
        <w:shd w:val="clear" w:color="auto" w:fill="auto"/>
        <w:bidi w:val="0"/>
        <w:jc w:val="both"/>
        <w:spacing w:before="0" w:after="240" w:line="322" w:lineRule="exact"/>
        <w:ind w:left="0" w:right="20" w:firstLine="860"/>
      </w:pPr>
      <w:r>
        <w:rPr>
          <w:lang w:val="ru-RU" w:eastAsia="ru-RU" w:bidi="ru-RU"/>
          <w:w w:val="100"/>
          <w:spacing w:val="0"/>
          <w:color w:val="000000"/>
          <w:position w:val="0"/>
        </w:rPr>
        <w:t xml:space="preserve"> привести Конкурсную документацию в соответствие с требованиями законодательства Российской Федерации о контрактной системе в сфере закупок и с учетом решения от 08.11.2017 по делу №06/4171-17 и разместить измененную Конкурсную документацию на официальном сайте;</w:t>
      </w:r>
    </w:p>
    <w:p>
      <w:pPr>
        <w:pStyle w:val="Style7"/>
        <w:numPr>
          <w:ilvl w:val="0"/>
          <w:numId w:val="7"/>
        </w:numPr>
        <w:widowControl w:val="0"/>
        <w:keepNext w:val="0"/>
        <w:keepLines w:val="0"/>
        <w:shd w:val="clear" w:color="auto" w:fill="auto"/>
        <w:bidi w:val="0"/>
        <w:jc w:val="both"/>
        <w:spacing w:before="0" w:after="240" w:line="322" w:lineRule="exact"/>
        <w:ind w:left="0" w:right="20" w:firstLine="860"/>
      </w:pPr>
      <w:r>
        <w:rPr>
          <w:lang w:val="ru-RU" w:eastAsia="ru-RU" w:bidi="ru-RU"/>
          <w:w w:val="100"/>
          <w:spacing w:val="0"/>
          <w:color w:val="000000"/>
          <w:position w:val="0"/>
        </w:rPr>
        <w:t xml:space="preserve"> назначить новые дату и время окончания срока подачи заявок на участие в Конкурсе, новые дату и время вскрытия конвертов, открытия доступа к электронным документам заявок участников на участие в Конкурсе, новою дату рассмотрения и оценки заявок на участие в Конкурсе, а также разместить на официальном сайте информацию о новых дате и времени окончания срока подачи заявок на участие в Конкурсе, новых дате и времени вскрытия конвертов, открытия доступа к электронным документам заявок участников на участие в Конкурсе и новой дате рассмотрения и оценки заявок на участие в Конкурсе. При этом дата окончания срока подачи заявок на участие в Конкурсе должна быть назначена не ранее чем через 20 дней со дня размещения на официальном сайте соответствующей Конкурсной документации;</w:t>
      </w:r>
    </w:p>
    <w:p>
      <w:pPr>
        <w:pStyle w:val="Style7"/>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уведомить участников закупки, подавших заявки на участие в Конкурсе, об отмене Протоколов, о прекращении действия заявок, поданных на участие в Конкурсе, о новых дате и времени окончания срока подачи заявок на участие в</w:t>
      </w:r>
    </w:p>
    <w:p>
      <w:pPr>
        <w:pStyle w:val="Style7"/>
        <w:widowControl w:val="0"/>
        <w:keepNext w:val="0"/>
        <w:keepLines w:val="0"/>
        <w:shd w:val="clear" w:color="auto" w:fill="auto"/>
        <w:bidi w:val="0"/>
        <w:jc w:val="both"/>
        <w:spacing w:before="0" w:after="240" w:line="322" w:lineRule="exact"/>
        <w:ind w:left="20" w:right="20" w:firstLine="0"/>
      </w:pPr>
      <w:r>
        <w:rPr>
          <w:lang w:val="ru-RU" w:eastAsia="ru-RU" w:bidi="ru-RU"/>
          <w:w w:val="100"/>
          <w:spacing w:val="0"/>
          <w:color w:val="000000"/>
          <w:position w:val="0"/>
        </w:rPr>
        <w:t>Конкурсе, новых дате и времени вскрытия конвертов, открытия доступа к электронным документам заявок участников на участие в Конкурсе и новой дате рассмотрения и оценки заявок на участие в Конкурсе, а также о возможности подать новые заявки на участие в Конкурсе.</w:t>
      </w:r>
    </w:p>
    <w:p>
      <w:pPr>
        <w:pStyle w:val="Style7"/>
        <w:numPr>
          <w:ilvl w:val="0"/>
          <w:numId w:val="23"/>
        </w:numPr>
        <w:widowControl w:val="0"/>
        <w:keepNext w:val="0"/>
        <w:keepLines w:val="0"/>
        <w:shd w:val="clear" w:color="auto" w:fill="auto"/>
        <w:bidi w:val="0"/>
        <w:jc w:val="both"/>
        <w:spacing w:before="0" w:after="240" w:line="322" w:lineRule="exact"/>
        <w:ind w:left="20" w:right="20" w:firstLine="860"/>
      </w:pPr>
      <w:r>
        <w:rPr>
          <w:lang w:val="ru-RU" w:eastAsia="ru-RU" w:bidi="ru-RU"/>
          <w:w w:val="100"/>
          <w:spacing w:val="0"/>
          <w:color w:val="000000"/>
          <w:position w:val="0"/>
        </w:rPr>
        <w:t xml:space="preserve"> Заказчику, Единой комиссии Заказчика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08.11.2017 по делу №06/4171-17.</w:t>
      </w:r>
    </w:p>
    <w:p>
      <w:pPr>
        <w:pStyle w:val="Style7"/>
        <w:numPr>
          <w:ilvl w:val="0"/>
          <w:numId w:val="23"/>
        </w:numPr>
        <w:widowControl w:val="0"/>
        <w:keepNext w:val="0"/>
        <w:keepLines w:val="0"/>
        <w:shd w:val="clear" w:color="auto" w:fill="auto"/>
        <w:bidi w:val="0"/>
        <w:jc w:val="both"/>
        <w:spacing w:before="0" w:after="240" w:line="322" w:lineRule="exact"/>
        <w:ind w:left="20" w:right="20" w:firstLine="860"/>
      </w:pPr>
      <w:r>
        <w:rPr>
          <w:lang w:val="ru-RU" w:eastAsia="ru-RU" w:bidi="ru-RU"/>
          <w:w w:val="100"/>
          <w:spacing w:val="0"/>
          <w:color w:val="000000"/>
          <w:position w:val="0"/>
        </w:rPr>
        <w:t xml:space="preserve"> Заказчику, Единой комиссии Заказчика в срок до 08.12.2017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по адресу:</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23"/>
        </w:numPr>
        <w:widowControl w:val="0"/>
        <w:keepNext w:val="0"/>
        <w:keepLines w:val="0"/>
        <w:shd w:val="clear" w:color="auto" w:fill="auto"/>
        <w:bidi w:val="0"/>
        <w:jc w:val="both"/>
        <w:spacing w:before="0" w:after="240"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№06/12524.</w:t>
      </w:r>
    </w:p>
    <w:p>
      <w:pPr>
        <w:pStyle w:val="Style7"/>
        <w:widowControl w:val="0"/>
        <w:keepNext w:val="0"/>
        <w:keepLines w:val="0"/>
        <w:shd w:val="clear" w:color="auto" w:fill="auto"/>
        <w:bidi w:val="0"/>
        <w:jc w:val="both"/>
        <w:spacing w:before="0" w:after="240" w:line="322" w:lineRule="exact"/>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7" w:line="322" w:lineRule="exact"/>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62" w:val="right"/>
          <w:tab w:leader="none" w:pos="8403" w:val="right"/>
          <w:tab w:leader="none" w:pos="9553"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tabs>
          <w:tab w:leader="none" w:pos="8062" w:val="right"/>
          <w:tab w:leader="none" w:pos="8403" w:val="right"/>
          <w:tab w:leader="none" w:pos="9769"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Члены Комиссии:</w:t>
        <w:tab/>
        <w:t>О.</w:t>
        <w:tab/>
        <w:t>А.</w:t>
        <w:tab/>
        <w:t>Шалимова</w:t>
      </w:r>
    </w:p>
    <w:p>
      <w:pPr>
        <w:pStyle w:val="Style7"/>
        <w:widowControl w:val="0"/>
        <w:keepNext w:val="0"/>
        <w:keepLines w:val="0"/>
        <w:shd w:val="clear" w:color="auto" w:fill="auto"/>
        <w:bidi w:val="0"/>
        <w:jc w:val="left"/>
        <w:spacing w:before="0" w:after="0" w:line="260" w:lineRule="exact"/>
        <w:ind w:left="7800" w:right="0" w:firstLine="0"/>
      </w:pPr>
      <w:r>
        <w:rPr>
          <w:lang w:val="ru-RU" w:eastAsia="ru-RU" w:bidi="ru-RU"/>
          <w:w w:val="100"/>
          <w:spacing w:val="0"/>
          <w:color w:val="000000"/>
          <w:position w:val="0"/>
        </w:rPr>
        <w:t>Н. А. Баданин</w:t>
      </w:r>
    </w:p>
    <w:sectPr>
      <w:type w:val="continuous"/>
      <w:pgSz w:w="11906" w:h="16838"/>
      <w:pgMar w:top="1435" w:left="788" w:right="788" w:bottom="926" w:header="0" w:footer="3" w:gutter="106"/>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17.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bCs/>
        <w:i w:val="0"/>
        <w:iCs w:val="0"/>
        <w:u w:val="none"/>
        <w:strike w:val="0"/>
        <w:smallCaps w:val="0"/>
        <w:sz w:val="20"/>
        <w:szCs w:val="20"/>
        <w:rFonts w:ascii="Times New Roman" w:eastAsia="Times New Roman" w:hAnsi="Times New Roman" w:cs="Times New Roman"/>
        <w:w w:val="100"/>
        <w:spacing w:val="0"/>
        <w:color w:val="000000"/>
        <w:position w:val="0"/>
      </w:rPr>
    </w:lvl>
    <w:lvl w:ilvl="1">
      <w:start w:val="1"/>
      <w:numFmt w:val="decimal"/>
      <w:lvlText w:val="%1.%2."/>
      <w:rPr>
        <w:lang w:val="ru-RU" w:eastAsia="ru-RU" w:bidi="ru-RU"/>
        <w:b/>
        <w:bCs/>
        <w:i w:val="0"/>
        <w:iCs w:val="0"/>
        <w:u w:val="none"/>
        <w:strike w:val="0"/>
        <w:smallCaps w:val="0"/>
        <w:sz w:val="20"/>
        <w:szCs w:val="20"/>
        <w:rFonts w:ascii="Times New Roman" w:eastAsia="Times New Roman" w:hAnsi="Times New Roman" w:cs="Times New Roman"/>
        <w:w w:val="100"/>
        <w:spacing w:val="0"/>
        <w:color w:val="000000"/>
        <w:position w:val="0"/>
      </w:rPr>
    </w:lvl>
    <w:lvl w:ilvl="2">
      <w:start w:val="1"/>
      <w:numFmt w:val="decimal"/>
      <w:lvlText w:val="%1.%2.%3."/>
      <w:rPr>
        <w:lang w:val="ru-RU" w:eastAsia="ru-RU" w:bidi="ru-RU"/>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5.2.%1."/>
      <w:rPr>
        <w:lang w:val="ru-RU" w:eastAsia="ru-RU" w:bidi="ru-RU"/>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7.%1."/>
      <w:rPr>
        <w:lang w:val="ru-RU" w:eastAsia="ru-RU" w:bidi="ru-RU"/>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2">
    <w:name w:val="Основной текст"/>
    <w:basedOn w:val="CharStyle8"/>
    <w:rPr>
      <w:lang w:val="en-US" w:eastAsia="en-US" w:bidi="en-US"/>
      <w:u w:val="single"/>
      <w:w w:val="100"/>
      <w:spacing w:val="0"/>
      <w:color w:val="000000"/>
      <w:position w:val="0"/>
    </w:rPr>
  </w:style>
  <w:style w:type="character" w:customStyle="1" w:styleId="CharStyle14">
    <w:name w:val="Подпись к таблице_"/>
    <w:basedOn w:val="DefaultParagraphFont"/>
    <w:link w:val="Style13"/>
    <w:rPr>
      <w:b w:val="0"/>
      <w:bCs w:val="0"/>
      <w:i w:val="0"/>
      <w:iCs w:val="0"/>
      <w:u w:val="none"/>
      <w:strike w:val="0"/>
      <w:smallCaps w:val="0"/>
      <w:sz w:val="26"/>
      <w:szCs w:val="26"/>
      <w:rFonts w:ascii="Times New Roman" w:eastAsia="Times New Roman" w:hAnsi="Times New Roman" w:cs="Times New Roman"/>
    </w:rPr>
  </w:style>
  <w:style w:type="character" w:customStyle="1" w:styleId="CharStyle15">
    <w:name w:val="Подпись к таблице"/>
    <w:basedOn w:val="CharStyle14"/>
    <w:rPr>
      <w:lang w:val="ru-RU" w:eastAsia="ru-RU" w:bidi="ru-RU"/>
      <w:u w:val="single"/>
      <w:w w:val="100"/>
      <w:spacing w:val="0"/>
      <w:color w:val="000000"/>
      <w:position w:val="0"/>
    </w:rPr>
  </w:style>
  <w:style w:type="character" w:customStyle="1" w:styleId="CharStyle16">
    <w:name w:val="Подпись к таблице"/>
    <w:basedOn w:val="CharStyle14"/>
    <w:rPr>
      <w:lang w:val="ru-RU" w:eastAsia="ru-RU" w:bidi="ru-RU"/>
      <w:u w:val="single"/>
      <w:w w:val="100"/>
      <w:spacing w:val="0"/>
      <w:color w:val="000000"/>
      <w:position w:val="0"/>
    </w:rPr>
  </w:style>
  <w:style w:type="character" w:customStyle="1" w:styleId="CharStyle17">
    <w:name w:val="Подпись к таблице + Интервал 1 pt"/>
    <w:basedOn w:val="CharStyle14"/>
    <w:rPr>
      <w:lang w:val="ru-RU" w:eastAsia="ru-RU" w:bidi="ru-RU"/>
      <w:w w:val="100"/>
      <w:spacing w:val="30"/>
      <w:color w:val="000000"/>
      <w:position w:val="0"/>
    </w:rPr>
  </w:style>
  <w:style w:type="character" w:customStyle="1" w:styleId="CharStyle19">
    <w:name w:val="Подпись к таблице (2)_"/>
    <w:basedOn w:val="DefaultParagraphFont"/>
    <w:link w:val="Style18"/>
    <w:rPr>
      <w:b/>
      <w:bCs/>
      <w:i w:val="0"/>
      <w:iCs w:val="0"/>
      <w:u w:val="none"/>
      <w:strike w:val="0"/>
      <w:smallCaps w:val="0"/>
      <w:sz w:val="20"/>
      <w:szCs w:val="20"/>
      <w:rFonts w:ascii="Times New Roman" w:eastAsia="Times New Roman" w:hAnsi="Times New Roman" w:cs="Times New Roman"/>
    </w:rPr>
  </w:style>
  <w:style w:type="character" w:customStyle="1" w:styleId="CharStyle20">
    <w:name w:val="Основной текст + 10 pt,Полужирный"/>
    <w:basedOn w:val="CharStyle8"/>
    <w:rPr>
      <w:lang w:val="ru-RU" w:eastAsia="ru-RU" w:bidi="ru-RU"/>
      <w:b/>
      <w:bCs/>
      <w:sz w:val="20"/>
      <w:szCs w:val="20"/>
      <w:w w:val="100"/>
      <w:spacing w:val="0"/>
      <w:color w:val="000000"/>
      <w:position w:val="0"/>
    </w:rPr>
  </w:style>
  <w:style w:type="character" w:customStyle="1" w:styleId="CharStyle21">
    <w:name w:val="Основной текст + 10 pt,Полужирный"/>
    <w:basedOn w:val="CharStyle8"/>
    <w:rPr>
      <w:lang w:val="ru-RU" w:eastAsia="ru-RU" w:bidi="ru-RU"/>
      <w:b/>
      <w:bCs/>
      <w:sz w:val="20"/>
      <w:szCs w:val="20"/>
      <w:w w:val="100"/>
      <w:spacing w:val="0"/>
      <w:color w:val="000000"/>
      <w:position w:val="0"/>
    </w:rPr>
  </w:style>
  <w:style w:type="character" w:customStyle="1" w:styleId="CharStyle23">
    <w:name w:val="Основной текст (5)_"/>
    <w:basedOn w:val="DefaultParagraphFont"/>
    <w:link w:val="Style22"/>
    <w:rPr>
      <w:b/>
      <w:bCs/>
      <w:i w:val="0"/>
      <w:iCs w:val="0"/>
      <w:u w:val="none"/>
      <w:strike w:val="0"/>
      <w:smallCaps w:val="0"/>
      <w:sz w:val="20"/>
      <w:szCs w:val="20"/>
      <w:rFonts w:ascii="Times New Roman" w:eastAsia="Times New Roman" w:hAnsi="Times New Roman" w:cs="Times New Roman"/>
    </w:rPr>
  </w:style>
  <w:style w:type="character" w:customStyle="1" w:styleId="CharStyle24">
    <w:name w:val="Основной текст (5) + 13 pt,Не полужирный,Интервал 1 pt"/>
    <w:basedOn w:val="CharStyle23"/>
    <w:rPr>
      <w:lang w:val="ru-RU" w:eastAsia="ru-RU" w:bidi="ru-RU"/>
      <w:b/>
      <w:bCs/>
      <w:sz w:val="26"/>
      <w:szCs w:val="26"/>
      <w:w w:val="100"/>
      <w:spacing w:val="30"/>
      <w:color w:val="000000"/>
      <w:position w:val="0"/>
    </w:rPr>
  </w:style>
  <w:style w:type="character" w:customStyle="1" w:styleId="CharStyle25">
    <w:name w:val="Основной текст (5) + 13 pt,Не полужирный"/>
    <w:basedOn w:val="CharStyle23"/>
    <w:rPr>
      <w:lang w:val="ru-RU" w:eastAsia="ru-RU" w:bidi="ru-RU"/>
      <w:b/>
      <w:bCs/>
      <w:sz w:val="26"/>
      <w:szCs w:val="26"/>
      <w:w w:val="100"/>
      <w:spacing w:val="0"/>
      <w:color w:val="000000"/>
      <w:position w:val="0"/>
    </w:rPr>
  </w:style>
  <w:style w:type="character" w:customStyle="1" w:styleId="CharStyle26">
    <w:name w:val="Основной текст + 10 pt,Полужирный"/>
    <w:basedOn w:val="CharStyle8"/>
    <w:rPr>
      <w:lang w:val="ru-RU" w:eastAsia="ru-RU" w:bidi="ru-RU"/>
      <w:b/>
      <w:bCs/>
      <w:sz w:val="20"/>
      <w:szCs w:val="20"/>
      <w:w w:val="100"/>
      <w:spacing w:val="0"/>
      <w:color w:val="000000"/>
      <w:position w:val="0"/>
    </w:rPr>
  </w:style>
  <w:style w:type="character" w:customStyle="1" w:styleId="CharStyle27">
    <w:name w:val="Основной текст (5)"/>
    <w:basedOn w:val="CharStyle23"/>
    <w:rPr>
      <w:lang w:val="ru-RU" w:eastAsia="ru-RU" w:bidi="ru-RU"/>
      <w:u w:val="single"/>
      <w:w w:val="100"/>
      <w:spacing w:val="0"/>
      <w:color w:val="000000"/>
      <w:position w:val="0"/>
    </w:rPr>
  </w:style>
  <w:style w:type="character" w:customStyle="1" w:styleId="CharStyle28">
    <w:name w:val="Основной текст + Интервал 1 pt"/>
    <w:basedOn w:val="CharStyle8"/>
    <w:rPr>
      <w:lang w:val="ru-RU" w:eastAsia="ru-RU" w:bidi="ru-RU"/>
      <w:w w:val="100"/>
      <w:spacing w:val="30"/>
      <w:color w:val="000000"/>
      <w:position w:val="0"/>
    </w:rPr>
  </w:style>
  <w:style w:type="character" w:customStyle="1" w:styleId="CharStyle30">
    <w:name w:val="Основной текст (6)_"/>
    <w:basedOn w:val="DefaultParagraphFont"/>
    <w:link w:val="Style29"/>
    <w:rPr>
      <w:b w:val="0"/>
      <w:bCs w:val="0"/>
      <w:i/>
      <w:iCs/>
      <w:u w:val="none"/>
      <w:strike w:val="0"/>
      <w:smallCaps w:val="0"/>
      <w:sz w:val="21"/>
      <w:szCs w:val="21"/>
      <w:rFonts w:ascii="Times New Roman" w:eastAsia="Times New Roman" w:hAnsi="Times New Roman" w:cs="Times New Roman"/>
    </w:rPr>
  </w:style>
  <w:style w:type="character" w:customStyle="1" w:styleId="CharStyle31">
    <w:name w:val="Основной текст (2) Exact"/>
    <w:basedOn w:val="DefaultParagraphFont"/>
    <w:rPr>
      <w:b/>
      <w:bCs/>
      <w:i w:val="0"/>
      <w:iCs w:val="0"/>
      <w:u w:val="none"/>
      <w:strike w:val="0"/>
      <w:smallCaps w:val="0"/>
      <w:sz w:val="21"/>
      <w:szCs w:val="21"/>
      <w:rFonts w:ascii="Times New Roman" w:eastAsia="Times New Roman" w:hAnsi="Times New Roman" w:cs="Times New Roman"/>
    </w:rPr>
  </w:style>
  <w:style w:type="character" w:customStyle="1" w:styleId="CharStyle32">
    <w:name w:val="Основной текст (2) Exact"/>
    <w:basedOn w:val="CharStyle4"/>
    <w:rPr>
      <w:lang w:val="ru-RU" w:eastAsia="ru-RU" w:bidi="ru-RU"/>
      <w:u w:val="single"/>
      <w:sz w:val="21"/>
      <w:szCs w:val="21"/>
      <w:w w:val="100"/>
      <w:spacing w:val="0"/>
      <w:color w:val="000000"/>
      <w:position w:val="0"/>
    </w:rPr>
  </w:style>
  <w:style w:type="character" w:customStyle="1" w:styleId="CharStyle33">
    <w:name w:val="Основной текст (3)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34">
    <w:name w:val="Основной текст"/>
    <w:basedOn w:val="CharStyle8"/>
    <w:rPr>
      <w:lang w:val="en-US" w:eastAsia="en-US" w:bidi="en-US"/>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6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Подпись к таблице"/>
    <w:basedOn w:val="Normal"/>
    <w:link w:val="CharStyle14"/>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8">
    <w:name w:val="Подпись к таблице (2)"/>
    <w:basedOn w:val="Normal"/>
    <w:link w:val="CharStyle19"/>
    <w:pPr>
      <w:widowControl w:val="0"/>
      <w:shd w:val="clear" w:color="auto" w:fill="FFFFFF"/>
      <w:spacing w:before="60"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jc w:val="center"/>
      <w:spacing w:line="254" w:lineRule="exact"/>
    </w:pPr>
    <w:rPr>
      <w:b/>
      <w:bCs/>
      <w:i w:val="0"/>
      <w:iCs w:val="0"/>
      <w:u w:val="none"/>
      <w:strike w:val="0"/>
      <w:smallCaps w:val="0"/>
      <w:sz w:val="20"/>
      <w:szCs w:val="20"/>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jc w:val="both"/>
      <w:spacing w:line="250" w:lineRule="exact"/>
      <w:ind w:firstLine="860"/>
    </w:pPr>
    <w:rPr>
      <w:b w:val="0"/>
      <w:bCs w:val="0"/>
      <w:i/>
      <w:iCs/>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