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0" w:y="1280"/>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30" w:y="1280"/>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30" w:y="1280"/>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839" w:after="0"/>
        <w:ind w:left="0" w:right="0" w:firstLine="0"/>
      </w:pPr>
      <w:r>
        <w:rPr>
          <w:lang w:val="ru-RU" w:eastAsia="ru-RU" w:bidi="ru-RU"/>
          <w:w w:val="100"/>
          <w:spacing w:val="0"/>
          <w:color w:val="000000"/>
          <w:position w:val="0"/>
        </w:rPr>
        <w:t xml:space="preserve"> Заказчик:</w:t>
      </w:r>
    </w:p>
    <w:p>
      <w:pPr>
        <w:pStyle w:val="Style7"/>
        <w:framePr w:h="245" w:wrap="around" w:vAnchor="text" w:hAnchor="margin" w:x="-45" w:y="1393"/>
        <w:widowControl w:val="0"/>
        <w:keepNext w:val="0"/>
        <w:keepLines w:val="0"/>
        <w:shd w:val="clear" w:color="auto" w:fill="auto"/>
        <w:bidi w:val="0"/>
        <w:jc w:val="left"/>
        <w:spacing w:before="0" w:after="0" w:line="240" w:lineRule="exact"/>
        <w:ind w:left="0" w:right="0" w:firstLine="0"/>
      </w:pPr>
      <w:r>
        <w:rPr>
          <w:rStyle w:val="CharStyle8"/>
          <w:spacing w:val="0"/>
        </w:rPr>
        <w:t>10.11.2017 №06/12865</w:t>
      </w:r>
    </w:p>
    <w:p>
      <w:pPr>
        <w:pStyle w:val="Style7"/>
        <w:widowControl w:val="0"/>
        <w:keepNext w:val="0"/>
        <w:keepLines w:val="0"/>
        <w:shd w:val="clear" w:color="auto" w:fill="auto"/>
        <w:bidi w:val="0"/>
        <w:jc w:val="left"/>
        <w:spacing w:before="0" w:after="296"/>
        <w:ind w:left="0" w:right="520" w:firstLine="0"/>
      </w:pPr>
      <w:r>
        <w:rPr>
          <w:lang w:val="ru-RU" w:eastAsia="ru-RU" w:bidi="ru-RU"/>
          <w:w w:val="100"/>
          <w:spacing w:val="0"/>
          <w:color w:val="000000"/>
          <w:position w:val="0"/>
        </w:rPr>
        <w:t>Управление жилищно-коммунального хозяйства администрации города Керчи Республики Крым 298300, Республика Крым, г. Керчь, ул. Кирова, д. 5</w:t>
      </w:r>
    </w:p>
    <w:p>
      <w:pPr>
        <w:pStyle w:val="Style7"/>
        <w:framePr w:h="240" w:wrap="around" w:vAnchor="text" w:hAnchor="margin" w:x="-78" w:y="30"/>
        <w:widowControl w:val="0"/>
        <w:keepNext w:val="0"/>
        <w:keepLines w:val="0"/>
        <w:shd w:val="clear" w:color="auto" w:fill="auto"/>
        <w:bidi w:val="0"/>
        <w:jc w:val="left"/>
        <w:spacing w:before="0" w:after="0" w:line="240" w:lineRule="exact"/>
        <w:ind w:left="0" w:right="0" w:firstLine="0"/>
      </w:pPr>
      <w:r>
        <w:rPr>
          <w:rStyle w:val="CharStyle8"/>
          <w:spacing w:val="0"/>
        </w:rPr>
        <w:t>На № 30 от 01.11.2017</w:t>
      </w:r>
    </w:p>
    <w:p>
      <w:pPr>
        <w:pStyle w:val="Style7"/>
        <w:numPr>
          <w:ilvl w:val="0"/>
          <w:numId w:val="1"/>
        </w:numPr>
        <w:widowControl w:val="0"/>
        <w:keepNext w:val="0"/>
        <w:keepLines w:val="0"/>
        <w:shd w:val="clear" w:color="auto" w:fill="auto"/>
        <w:bidi w:val="0"/>
        <w:jc w:val="left"/>
        <w:spacing w:before="0" w:after="0" w:line="322" w:lineRule="exact"/>
        <w:ind w:left="23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«Детские площадки»</w:t>
      </w:r>
    </w:p>
    <w:p>
      <w:pPr>
        <w:pStyle w:val="Style7"/>
        <w:widowControl w:val="0"/>
        <w:keepNext w:val="0"/>
        <w:keepLines w:val="0"/>
        <w:shd w:val="clear" w:color="auto" w:fill="auto"/>
        <w:bidi w:val="0"/>
        <w:jc w:val="left"/>
        <w:spacing w:before="0" w:after="244" w:line="322" w:lineRule="exact"/>
        <w:ind w:left="4980" w:right="920" w:firstLine="0"/>
      </w:pPr>
      <w:r>
        <w:rPr>
          <w:lang w:val="ru-RU" w:eastAsia="ru-RU" w:bidi="ru-RU"/>
          <w:w w:val="100"/>
          <w:spacing w:val="0"/>
          <w:color w:val="000000"/>
          <w:position w:val="0"/>
        </w:rPr>
        <w:t>450078, Республика Башкортостан, г. Уфа, ул. Мингажева, д. 59/1, кв. 30</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ЗАО «Сбербанк-АСТ»</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236"/>
        <w:ind w:left="4980" w:right="0" w:firstLine="0"/>
      </w:pPr>
      <w:r>
        <w:rPr>
          <w:lang w:val="ru-RU" w:eastAsia="ru-RU" w:bidi="ru-RU"/>
          <w:w w:val="100"/>
          <w:spacing w:val="0"/>
          <w:color w:val="000000"/>
          <w:position w:val="0"/>
        </w:rPr>
        <w:t>ул. Большая Якиманка, д. 23</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№06/4169-17 о нарушении законодательства Российской Федерации о контрактной системе в сфере закупок</w:t>
      </w:r>
    </w:p>
    <w:p>
      <w:pPr>
        <w:pStyle w:val="Style7"/>
        <w:numPr>
          <w:ilvl w:val="0"/>
          <w:numId w:val="3"/>
        </w:numPr>
        <w:tabs>
          <w:tab w:leader="none" w:pos="8056" w:val="left"/>
          <w:tab w:leader="none" w:pos="8075"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Заказчика В. О. Карпова (начальника Управление жилищно-коммунального хозяйства администрации города Керчи Республики Крым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Заявителя А. Н. Алекторова (по доверенности), В. Р. Фронц (по доверенности), —</w:t>
      </w:r>
      <w:r>
        <w:br w:type="page"/>
      </w:r>
    </w:p>
    <w:p>
      <w:pPr>
        <w:pStyle w:val="Style7"/>
        <w:widowControl w:val="0"/>
        <w:keepNext w:val="0"/>
        <w:keepLines w:val="0"/>
        <w:shd w:val="clear" w:color="auto" w:fill="auto"/>
        <w:bidi w:val="0"/>
        <w:jc w:val="both"/>
        <w:spacing w:before="0" w:after="109" w:line="322" w:lineRule="exact"/>
        <w:ind w:left="20" w:right="20" w:firstLine="840"/>
      </w:pPr>
      <w:r>
        <w:rPr>
          <w:lang w:val="ru-RU" w:eastAsia="ru-RU" w:bidi="ru-RU"/>
          <w:w w:val="100"/>
          <w:spacing w:val="0"/>
          <w:color w:val="000000"/>
          <w:position w:val="0"/>
        </w:rPr>
        <w:t>рассмотрев жалобу Заявителя от 01.11.2017 № 30 (вх. №4761/09 от 01.11.2017) на действия Единой комиссии Заказчика при проведении электронного аукциона «Выполнение работ по оборудованию детских игровых площадок по адресам: г. Керчь, ул. К. Маркса, д.1, ул. Всесоюзная, д.1, ул. Островского, д.110, ул. Генерала Петрова, д.76, ул. Вокзальное шоссе, д. 35, Шоссе Героев Сталинграда» (номер извещения 0175300011917000085)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№06/12522,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заседании Комиссии представители Заявителя поддержали доводы жалобы в полном объеме.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Представитель Заказчика с доводами жалобы не согласился и сообщил, что Заказчик, Единая комиссия Заказчика действовали в соответствии с требованиями документации об Аукционе и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извещение об осуществлении закупки размещено на официальном сайте — 10.10.2017, изменения - 20.10.2017;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- 2 000 000,00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28.10.2017 12:00, дата окончания срока рассмотрения первых частей заявок участников: 30.10.2017, дата проведения Аукциона: 02.11.2017;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3 заявки, из них 2 заявки признаны не соответствующими документации об Аукционе и Закону о контрактной системе - заявка под номером «2» (Заявитель);</w:t>
      </w:r>
    </w:p>
    <w:p>
      <w:pPr>
        <w:pStyle w:val="Style7"/>
        <w:numPr>
          <w:ilvl w:val="0"/>
          <w:numId w:val="5"/>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 состоявшимся.</w:t>
      </w:r>
    </w:p>
    <w:p>
      <w:pPr>
        <w:pStyle w:val="Style7"/>
        <w:numPr>
          <w:ilvl w:val="0"/>
          <w:numId w:val="7"/>
        </w:numPr>
        <w:tabs>
          <w:tab w:leader="none" w:pos="1273"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w:t>
        <w:br w:type="page"/>
        <w:t>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700"/>
        <w:sectPr>
          <w:footnotePr>
            <w:pos w:val="pageBottom"/>
            <w:numFmt w:val="decimal"/>
            <w:numRestart w:val="continuous"/>
          </w:footnotePr>
          <w:type w:val="continuous"/>
          <w:pgSz w:w="11906" w:h="16838"/>
          <w:pgMar w:top="1468" w:left="922" w:right="764" w:bottom="897"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30.10.2017 №0175300011917000085-1 закупки с порядковым номером </w:t>
      </w:r>
      <w:r>
        <w:rPr>
          <w:rStyle w:val="CharStyle12"/>
        </w:rPr>
        <w:t xml:space="preserve">заявки «2» (Заявитель) отказано в допуске к участию в Аукционе по причине: </w:t>
      </w:r>
      <w:r>
        <w:rPr>
          <w:rStyle w:val="CharStyle13"/>
        </w:rPr>
        <w:t>«...</w:t>
      </w:r>
    </w:p>
    <w:p>
      <w:pPr>
        <w:pStyle w:val="Style14"/>
        <w:framePr w:w="1818" w:h="182" w:wrap="none" w:vAnchor="text" w:hAnchor="margin" w:x="1312"/>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Отказать в допуске</w:t>
      </w:r>
    </w:p>
    <w:p>
      <w:pPr>
        <w:pStyle w:val="Style14"/>
        <w:framePr w:w="1765" w:h="1107" w:wrap="none" w:vAnchor="text" w:hAnchor="margin" w:x="3482" w:y="3"/>
        <w:widowControl w:val="0"/>
        <w:keepNext w:val="0"/>
        <w:keepLines w:val="0"/>
        <w:shd w:val="clear" w:color="auto" w:fill="auto"/>
        <w:bidi w:val="0"/>
        <w:jc w:val="left"/>
        <w:spacing w:before="0" w:after="0" w:line="230" w:lineRule="exact"/>
        <w:ind w:left="100" w:right="100" w:firstLine="0"/>
      </w:pPr>
      <w:r>
        <w:rPr>
          <w:lang w:val="ru-RU" w:eastAsia="ru-RU" w:bidi="ru-RU"/>
          <w:w w:val="100"/>
          <w:spacing w:val="0"/>
          <w:color w:val="000000"/>
          <w:position w:val="0"/>
        </w:rPr>
        <w:t>В.О. Карпов Т.Н. Кудренко М.А. Данильченко М.С. Гарькуша Н.В. Варенюк</w:t>
      </w:r>
    </w:p>
    <w:p>
      <w:pPr>
        <w:pStyle w:val="Style14"/>
        <w:framePr w:w="291" w:h="170" w:wrap="none" w:vAnchor="text" w:hAnchor="margin" w:x="179" w:y="4"/>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2</w:t>
      </w:r>
    </w:p>
    <w:p>
      <w:pPr>
        <w:pStyle w:val="Style14"/>
        <w:framePr w:w="3992" w:h="4805" w:wrap="none" w:vAnchor="text" w:hAnchor="margin" w:x="6405" w:y="3"/>
        <w:widowControl w:val="0"/>
        <w:keepNext w:val="0"/>
        <w:keepLines w:val="0"/>
        <w:shd w:val="clear" w:color="auto" w:fill="auto"/>
        <w:bidi w:val="0"/>
        <w:jc w:val="left"/>
        <w:spacing w:before="0" w:after="0" w:line="226" w:lineRule="exact"/>
        <w:ind w:left="120" w:right="100" w:firstLine="0"/>
      </w:pPr>
      <w:r>
        <w:rPr>
          <w:lang w:val="ru-RU" w:eastAsia="ru-RU" w:bidi="ru-RU"/>
          <w:w w:val="100"/>
          <w:spacing w:val="0"/>
          <w:color w:val="000000"/>
          <w:position w:val="0"/>
        </w:rPr>
        <w:t>Отклонена, в соответствии с п.4 ст. 67 Федерального закона от 05.04.2013 г. «О контрактной системе в сфере закупок товаров, работ, услуг для обеспечения государственных и муниципальных нужд»: несоответствия информации, предусмотренной</w:t>
      </w:r>
      <w:r>
        <w:fldChar w:fldCharType="begin"/>
      </w:r>
      <w:r>
        <w:rPr>
          <w:color w:val="000000"/>
        </w:rPr>
        <w:instrText> HYPERLINK "http://www.consultant.ru/document/cons_doc_LAW_144624/1cae86666aac2a3bc0b45916a0bbc0795cc340a2/%23dst100847" </w:instrText>
      </w:r>
      <w:r>
        <w:fldChar w:fldCharType="separate"/>
      </w:r>
      <w:r>
        <w:rPr>
          <w:rStyle w:val="Hyperlink"/>
          <w:lang w:val="ru-RU" w:eastAsia="ru-RU" w:bidi="ru-RU"/>
          <w:w w:val="100"/>
          <w:spacing w:val="0"/>
          <w:position w:val="0"/>
        </w:rPr>
        <w:t xml:space="preserve"> частью 3 статьи</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"http://www.consultant.ru/document/cons_doc_LAW_144624/1cae86666aac2a3bc0b45916a0bbc0795cc340a2/%23dst100847" </w:instrText>
      </w:r>
      <w:r>
        <w:fldChar w:fldCharType="separate"/>
      </w:r>
      <w:r>
        <w:rPr>
          <w:rStyle w:val="Hyperlink"/>
          <w:lang w:val="ru-RU" w:eastAsia="ru-RU" w:bidi="ru-RU"/>
          <w:w w:val="100"/>
          <w:spacing w:val="0"/>
          <w:position w:val="0"/>
        </w:rPr>
        <w:t xml:space="preserve">66 </w:t>
      </w:r>
      <w:r>
        <w:fldChar w:fldCharType="end"/>
      </w:r>
      <w:r>
        <w:rPr>
          <w:lang w:val="ru-RU" w:eastAsia="ru-RU" w:bidi="ru-RU"/>
          <w:w w:val="100"/>
          <w:spacing w:val="0"/>
          <w:color w:val="000000"/>
          <w:position w:val="0"/>
        </w:rPr>
        <w:t>настоящего Федерального закона, требованиям документации о таком аукционе, а именно:</w:t>
      </w:r>
    </w:p>
    <w:p>
      <w:pPr>
        <w:pStyle w:val="Style14"/>
        <w:framePr w:w="3992" w:h="4805" w:wrap="none" w:vAnchor="text" w:hAnchor="margin" w:x="6405" w:y="3"/>
        <w:widowControl w:val="0"/>
        <w:keepNext w:val="0"/>
        <w:keepLines w:val="0"/>
        <w:shd w:val="clear" w:color="auto" w:fill="auto"/>
        <w:bidi w:val="0"/>
        <w:jc w:val="left"/>
        <w:spacing w:before="0" w:after="0" w:line="226" w:lineRule="exact"/>
        <w:ind w:left="120" w:right="100" w:firstLine="0"/>
      </w:pPr>
      <w:r>
        <w:rPr>
          <w:lang w:val="ru-RU" w:eastAsia="ru-RU" w:bidi="ru-RU"/>
          <w:w w:val="100"/>
          <w:spacing w:val="0"/>
          <w:color w:val="000000"/>
          <w:position w:val="0"/>
        </w:rPr>
        <w:t>по позиции «Бетон» в заявке участником указано: Истинная плотность мелкого заполнителя в пределах от 2000 до 2800 кг/м3 включительно(согласно ГОСТ 26633</w:t>
        <w:softHyphen/>
        <w:t>2012 п. 3.5.2.2), где слова «в пределах от 2000 до 2800 кг/м3» не позволяют установить конкретное значение показателя.</w:t>
      </w:r>
    </w:p>
    <w:p>
      <w:pPr>
        <w:pStyle w:val="Style14"/>
        <w:framePr w:w="3992" w:h="4805" w:wrap="none" w:vAnchor="text" w:hAnchor="margin" w:x="6405" w:y="3"/>
        <w:tabs>
          <w:tab w:leader="underscore" w:pos="3898" w:val="left"/>
        </w:tabs>
        <w:widowControl w:val="0"/>
        <w:keepNext w:val="0"/>
        <w:keepLines w:val="0"/>
        <w:shd w:val="clear" w:color="auto" w:fill="auto"/>
        <w:bidi w:val="0"/>
        <w:jc w:val="left"/>
        <w:spacing w:before="0" w:after="0" w:line="226" w:lineRule="exact"/>
        <w:ind w:left="120" w:right="100" w:firstLine="0"/>
      </w:pPr>
      <w:r>
        <w:rPr>
          <w:lang w:val="ru-RU" w:eastAsia="ru-RU" w:bidi="ru-RU"/>
          <w:w w:val="100"/>
          <w:spacing w:val="0"/>
          <w:color w:val="000000"/>
          <w:position w:val="0"/>
        </w:rPr>
        <w:t xml:space="preserve">Аналогично по следующему описанию: Средняя плотность крупного заполнителя в </w:t>
      </w:r>
      <w:r>
        <w:rPr>
          <w:rStyle w:val="CharStyle16"/>
          <w:b/>
          <w:bCs/>
          <w:spacing w:val="0"/>
        </w:rPr>
        <w:t>пределах от 2000 до 3000 кг/м3</w:t>
      </w:r>
      <w:r>
        <w:rPr>
          <w:lang w:val="ru-RU" w:eastAsia="ru-RU" w:bidi="ru-RU"/>
          <w:w w:val="100"/>
          <w:spacing w:val="0"/>
          <w:color w:val="000000"/>
          <w:position w:val="0"/>
        </w:rPr>
        <w:tab/>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77" w:lineRule="exact"/>
      </w:pPr>
    </w:p>
    <w:p>
      <w:pPr>
        <w:widowControl w:val="0"/>
        <w:rPr>
          <w:sz w:val="2"/>
          <w:szCs w:val="2"/>
        </w:rPr>
        <w:sectPr>
          <w:type w:val="continuous"/>
          <w:pgSz w:w="11906" w:h="16838"/>
          <w:pgMar w:top="853" w:left="764" w:right="764" w:bottom="853" w:header="0" w:footer="3" w:gutter="0"/>
          <w:rtlGutter w:val="0"/>
          <w:cols w:space="720"/>
          <w:noEndnote/>
          <w:docGrid w:linePitch="360"/>
        </w:sectPr>
      </w:pPr>
    </w:p>
    <w:tbl>
      <w:tblPr>
        <w:tblOverlap w:val="never"/>
        <w:tblLayout w:type="fixed"/>
        <w:jc w:val="center"/>
      </w:tblPr>
      <w:tblGrid>
        <w:gridCol w:w="1142"/>
        <w:gridCol w:w="2174"/>
        <w:gridCol w:w="2928"/>
        <w:gridCol w:w="3979"/>
      </w:tblGrid>
      <w:tr>
        <w:trPr>
          <w:trHeight w:val="710"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7"/>
              </w:rPr>
              <w:t>включительно (согласно ГОСТ26633-2012 п. 3.5.2.1).</w:t>
            </w:r>
          </w:p>
        </w:tc>
      </w:tr>
    </w:tbl>
    <w:p>
      <w:pPr>
        <w:widowControl w:val="0"/>
        <w:rPr>
          <w:sz w:val="2"/>
          <w:szCs w:val="2"/>
        </w:rPr>
      </w:pPr>
    </w:p>
    <w:p>
      <w:pPr>
        <w:pStyle w:val="Style7"/>
        <w:widowControl w:val="0"/>
        <w:keepNext w:val="0"/>
        <w:keepLines w:val="0"/>
        <w:shd w:val="clear" w:color="auto" w:fill="auto"/>
        <w:bidi w:val="0"/>
        <w:jc w:val="both"/>
        <w:spacing w:before="0" w:after="0" w:line="322" w:lineRule="exact"/>
        <w:ind w:left="120" w:right="0" w:firstLine="860"/>
      </w:pPr>
      <w:r>
        <w:rPr>
          <w:rStyle w:val="CharStyle18"/>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120" w:right="0" w:firstLine="86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left"/>
        <w:spacing w:before="0" w:after="0" w:line="322" w:lineRule="exact"/>
        <w:ind w:left="120" w:right="0" w:firstLine="0"/>
      </w:pPr>
      <w:r>
        <w:rPr>
          <w:lang w:val="ru-RU" w:eastAsia="ru-RU" w:bidi="ru-RU"/>
          <w:w w:val="100"/>
          <w:spacing w:val="0"/>
          <w:color w:val="000000"/>
          <w:position w:val="0"/>
        </w:rPr>
        <w:t>«.</w:t>
      </w:r>
    </w:p>
    <w:tbl>
      <w:tblPr>
        <w:tblOverlap w:val="never"/>
        <w:tblLayout w:type="fixed"/>
        <w:jc w:val="center"/>
      </w:tblPr>
      <w:tblGrid>
        <w:gridCol w:w="480"/>
        <w:gridCol w:w="1416"/>
        <w:gridCol w:w="1934"/>
        <w:gridCol w:w="6605"/>
      </w:tblGrid>
      <w:tr>
        <w:trPr>
          <w:trHeight w:val="590" w:hRule="exact"/>
        </w:trPr>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left"/>
              <w:spacing w:before="0" w:after="60" w:line="170" w:lineRule="exact"/>
              <w:ind w:left="140" w:right="0" w:firstLine="0"/>
            </w:pPr>
            <w:r>
              <w:rPr>
                <w:rStyle w:val="CharStyle19"/>
              </w:rPr>
              <w:t>№</w:t>
            </w:r>
          </w:p>
          <w:p>
            <w:pPr>
              <w:pStyle w:val="Style7"/>
              <w:framePr w:w="10435" w:wrap="notBeside" w:vAnchor="text" w:hAnchor="text" w:xAlign="center" w:y="1"/>
              <w:widowControl w:val="0"/>
              <w:keepNext w:val="0"/>
              <w:keepLines w:val="0"/>
              <w:shd w:val="clear" w:color="auto" w:fill="auto"/>
              <w:bidi w:val="0"/>
              <w:jc w:val="left"/>
              <w:spacing w:before="60" w:after="0" w:line="170" w:lineRule="exact"/>
              <w:ind w:left="140" w:right="0" w:firstLine="0"/>
            </w:pPr>
            <w:r>
              <w:rPr>
                <w:rStyle w:val="CharStyle19"/>
              </w:rPr>
              <w:t>п/п</w:t>
            </w:r>
          </w:p>
        </w:tc>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19"/>
              </w:rPr>
              <w:t>Наименование</w:t>
            </w:r>
          </w:p>
          <w:p>
            <w:pPr>
              <w:pStyle w:val="Style7"/>
              <w:framePr w:w="10435" w:wrap="notBeside" w:vAnchor="text" w:hAnchor="text" w:xAlign="center" w:y="1"/>
              <w:widowControl w:val="0"/>
              <w:keepNext w:val="0"/>
              <w:keepLines w:val="0"/>
              <w:shd w:val="clear" w:color="auto" w:fill="auto"/>
              <w:bidi w:val="0"/>
              <w:jc w:val="center"/>
              <w:spacing w:before="60" w:after="0" w:line="170" w:lineRule="exact"/>
              <w:ind w:left="0" w:right="0" w:firstLine="0"/>
            </w:pPr>
            <w:r>
              <w:rPr>
                <w:rStyle w:val="CharStyle19"/>
              </w:rPr>
              <w:t>товара</w:t>
            </w:r>
          </w:p>
        </w:tc>
        <w:tc>
          <w:tcPr>
            <w:shd w:val="clear" w:color="auto" w:fill="FFFFFF"/>
            <w:gridSpan w:val="2"/>
            <w:tcBorders>
              <w:left w:val="single" w:sz="4"/>
              <w:righ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9"/>
              </w:rPr>
              <w:t>Описание товара</w:t>
            </w:r>
          </w:p>
        </w:tc>
      </w:tr>
      <w:tr>
        <w:trPr>
          <w:trHeight w:val="586" w:hRule="exact"/>
        </w:trPr>
        <w:tc>
          <w:tcPr>
            <w:shd w:val="clear" w:color="auto" w:fill="FFFFFF"/>
            <w:vMerge w:val="restart"/>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220" w:right="0" w:firstLine="0"/>
            </w:pPr>
            <w:r>
              <w:rPr>
                <w:rStyle w:val="CharStyle19"/>
              </w:rPr>
              <w:t>1</w:t>
            </w:r>
          </w:p>
        </w:tc>
        <w:tc>
          <w:tcPr>
            <w:shd w:val="clear" w:color="auto" w:fill="FFFFFF"/>
            <w:vMerge w:val="restart"/>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19"/>
              </w:rPr>
              <w:t>Строительные</w:t>
            </w:r>
          </w:p>
          <w:p>
            <w:pPr>
              <w:pStyle w:val="Style7"/>
              <w:framePr w:w="10435" w:wrap="notBeside" w:vAnchor="text" w:hAnchor="text" w:xAlign="center" w:y="1"/>
              <w:widowControl w:val="0"/>
              <w:keepNext w:val="0"/>
              <w:keepLines w:val="0"/>
              <w:shd w:val="clear" w:color="auto" w:fill="auto"/>
              <w:bidi w:val="0"/>
              <w:jc w:val="center"/>
              <w:spacing w:before="60" w:after="0" w:line="170" w:lineRule="exact"/>
              <w:ind w:left="0" w:right="0" w:firstLine="0"/>
            </w:pPr>
            <w:r>
              <w:rPr>
                <w:rStyle w:val="CharStyle19"/>
              </w:rPr>
              <w:t>материалы:</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4978" w:hRule="exact"/>
        </w:trPr>
        <w:tc>
          <w:tcPr>
            <w:shd w:val="clear" w:color="auto" w:fill="FFFFFF"/>
            <w:vMerge/>
            <w:tcBorders>
              <w:left w:val="single" w:sz="4"/>
            </w:tcBorders>
            <w:vAlign w:val="center"/>
          </w:tcPr>
          <w:p>
            <w:pPr>
              <w:framePr w:w="10435" w:wrap="notBeside" w:vAnchor="text" w:hAnchor="text" w:xAlign="center" w:y="1"/>
            </w:pPr>
          </w:p>
        </w:tc>
        <w:tc>
          <w:tcPr>
            <w:shd w:val="clear" w:color="auto" w:fill="FFFFFF"/>
            <w:vMerge/>
            <w:tcBorders>
              <w:left w:val="single" w:sz="4"/>
            </w:tcBorders>
            <w:vAlign w:val="center"/>
          </w:tcPr>
          <w:p>
            <w:pPr>
              <w:framePr w:w="10435" w:wrap="notBeside" w:vAnchor="text" w:hAnchor="text" w:xAlign="center" w:y="1"/>
            </w:pPr>
          </w:p>
        </w:tc>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Бетон</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Бетон тяжелый с крупностью заполнителя 20 мм. Класс В7,5 (М100). Цементы, крупный и мелкий заполнители, вода и добавки должны соответствовать требованиям стандартов и технических условий с учетом требований ГОСТ 31384. Удельная эффективная активность естественных радионуклидов Аэфф в материалах, применяемых для приготовления бетонных смесей, не должна превышать предельных значений, установленных ГОСТ 30108. В качестве вяжущих материалов следует применять цементы, соответствующие требованиям ГОСТ 10178, ГОСТ 22266. В качестве мелкого заполнителя для бетонов применяют природный песок по ГОСТ 8736, песок из отсевов дробления горных пород по ГОСТ 31424, их смеси, песок из доменных и ферросплавных шлаков черной металлургии по ГОСТ 5578, а также мелкозернистые золошлаковые смеси по ГОСТ 25592. Истинная плотность мелкого заполнителя должна быть в пределах от 2000 до 2800 кг/м3 включительно. Содержание пылевидных и глинистых частиц в мелком заполнителе не должно быть более 3% по массе. В качестве крупных заполнителей для бетонов следует применять щебень, щебень из гравия и гравий из плотных горных пород по ГОСТ 8267, щебень из отсевов дробления плотных горных пород по ГОСТ 31424, щебень из доменных и ферросплавных шлаков черной металлургии по ГОСТ 5578, щебень из дробленого бетона и железобетона по ГОСТ 32495, щебень из шлаков ТЭЦ по ГОСТ 26644. Средняя плотность крупного заполнителя должна быть в пределах от 2000 до 3000 кг/м3 включительно. Содержание зерен пластинчатой (лещадной) и игловатой форм в крупном заполнителе не должно превышать 35% массы. Вода для за творения бетонной смеси и приготовления растворов химических добавок должна соответствовать требованиям ГОСТ 23732.</w:t>
            </w:r>
          </w:p>
        </w:tc>
      </w:tr>
      <w:tr>
        <w:trPr>
          <w:trHeight w:val="230" w:hRule="exact"/>
        </w:trPr>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gridSpan w:val="3"/>
            <w:tcBorders>
              <w:left w:val="single" w:sz="4"/>
              <w:righ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20"/>
              </w:rPr>
              <w:t>... | ...</w:t>
            </w:r>
          </w:p>
        </w:tc>
      </w:tr>
    </w:tbl>
    <w:p>
      <w:pPr>
        <w:widowControl w:val="0"/>
        <w:rPr>
          <w:sz w:val="2"/>
          <w:szCs w:val="2"/>
        </w:rPr>
      </w:pPr>
    </w:p>
    <w:p>
      <w:pPr>
        <w:pStyle w:val="Style7"/>
        <w:widowControl w:val="0"/>
        <w:keepNext w:val="0"/>
        <w:keepLines w:val="0"/>
        <w:shd w:val="clear" w:color="auto" w:fill="auto"/>
        <w:bidi w:val="0"/>
        <w:jc w:val="both"/>
        <w:spacing w:before="0" w:after="0" w:line="260" w:lineRule="exact"/>
        <w:ind w:left="1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120" w:right="120" w:firstLine="860"/>
      </w:pPr>
      <w:r>
        <w:rPr>
          <w:lang w:val="ru-RU" w:eastAsia="ru-RU" w:bidi="ru-RU"/>
          <w:w w:val="100"/>
          <w:spacing w:val="0"/>
          <w:color w:val="000000"/>
          <w:position w:val="0"/>
        </w:rPr>
        <w:t>На заседании Комиссии представитель Заказчика пояснил, что Заявителем в составе своей первой части заявки под порядковым номером «2» представлены показатели товаров (материалов), используемых при выполнении работ противоречащие требованиям документации об Аукционе.</w:t>
      </w:r>
    </w:p>
    <w:p>
      <w:pPr>
        <w:pStyle w:val="Style7"/>
        <w:widowControl w:val="0"/>
        <w:keepNext w:val="0"/>
        <w:keepLines w:val="0"/>
        <w:shd w:val="clear" w:color="auto" w:fill="auto"/>
        <w:bidi w:val="0"/>
        <w:jc w:val="both"/>
        <w:spacing w:before="0" w:after="0" w:line="322" w:lineRule="exact"/>
        <w:ind w:left="120" w:right="1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«2» (Заявитель), предоставленную представителем Заказчика, положения соответствующих ГОСТов, с учетом пояснений представителя Заказчика, приходит к выводу об обоснованности действий Единой комиссии Заказчика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line="322" w:lineRule="exact"/>
        <w:ind w:left="120" w:right="1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60" w:line="322" w:lineRule="exact"/>
        <w:ind w:left="1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7"/>
        </w:numPr>
        <w:tabs>
          <w:tab w:leader="none" w:pos="1325" w:val="left"/>
        </w:tabs>
        <w:widowControl w:val="0"/>
        <w:keepNext w:val="0"/>
        <w:keepLines w:val="0"/>
        <w:shd w:val="clear" w:color="auto" w:fill="auto"/>
        <w:bidi w:val="0"/>
        <w:jc w:val="both"/>
        <w:spacing w:before="0" w:after="56" w:line="322" w:lineRule="exact"/>
        <w:ind w:left="120" w:right="1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7"/>
        </w:numPr>
        <w:tabs>
          <w:tab w:leader="none" w:pos="1541" w:val="left"/>
        </w:tabs>
        <w:widowControl w:val="0"/>
        <w:keepNext w:val="0"/>
        <w:keepLines w:val="0"/>
        <w:shd w:val="clear" w:color="auto" w:fill="auto"/>
        <w:bidi w:val="0"/>
        <w:jc w:val="both"/>
        <w:spacing w:before="0" w:after="0" w:line="326" w:lineRule="exact"/>
        <w:ind w:left="120" w:right="1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проведении такого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4 части 5 статьи 63 Закона о контрактной системе в извещении о проведении электронного аукциона указывается размер обеспечения заявок на участие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44 Закона о контрактной системе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Законом о контрактной системе и условия банковской гарантии (если такой способ обеспечения заявок применим в соответствии с Законом о контрактной системе).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14 статьи 44 Закона о контрактной системе определено, что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 соответствии с частью 15 статьи 44 Закона о контрактной системе в случае, если закупка осуществляется в соответствии со статьями 28 - 30 Закона о контрактной системе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pPr>
        <w:pStyle w:val="Style2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3"/>
        </w:rPr>
        <w:t>Заказчиком в документации об Аукционе указано: «.</w:t>
      </w:r>
    </w:p>
    <w:tbl>
      <w:tblPr>
        <w:tblOverlap w:val="never"/>
        <w:tblLayout w:type="fixed"/>
        <w:jc w:val="center"/>
      </w:tblPr>
      <w:tblGrid>
        <w:gridCol w:w="715"/>
        <w:gridCol w:w="2698"/>
        <w:gridCol w:w="6811"/>
      </w:tblGrid>
      <w:tr>
        <w:trPr>
          <w:trHeight w:val="1670"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5"/>
              </w:rPr>
              <w:t>1.</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5"/>
              </w:rPr>
              <w:t>В соответствии с ч. 1 ст. 30 ФЗ №44-ФЗ</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5"/>
              </w:rPr>
              <w:t>Участниками закупки могут быть только:</w:t>
            </w:r>
          </w:p>
          <w:p>
            <w:pPr>
              <w:pStyle w:val="Style7"/>
              <w:numPr>
                <w:ilvl w:val="0"/>
                <w:numId w:val="11"/>
              </w:numPr>
              <w:framePr w:w="10224" w:wrap="notBeside" w:vAnchor="text" w:hAnchor="text" w:xAlign="center" w:y="1"/>
              <w:tabs>
                <w:tab w:leader="none" w:pos="240" w:val="left"/>
              </w:tabs>
              <w:widowControl w:val="0"/>
              <w:keepNext w:val="0"/>
              <w:keepLines w:val="0"/>
              <w:shd w:val="clear" w:color="auto" w:fill="auto"/>
              <w:bidi w:val="0"/>
              <w:jc w:val="both"/>
              <w:spacing w:before="0" w:after="0" w:line="274" w:lineRule="exact"/>
              <w:ind w:left="0" w:right="0" w:firstLine="0"/>
            </w:pPr>
            <w:r>
              <w:rPr>
                <w:rStyle w:val="CharStyle25"/>
              </w:rPr>
              <w:t>субъекты малого предпринимательства</w:t>
            </w:r>
          </w:p>
          <w:p>
            <w:pPr>
              <w:pStyle w:val="Style7"/>
              <w:numPr>
                <w:ilvl w:val="0"/>
                <w:numId w:val="11"/>
              </w:numPr>
              <w:framePr w:w="10224" w:wrap="notBeside" w:vAnchor="text" w:hAnchor="text" w:xAlign="center" w:y="1"/>
              <w:tabs>
                <w:tab w:leader="none" w:pos="384" w:val="left"/>
              </w:tabs>
              <w:widowControl w:val="0"/>
              <w:keepNext w:val="0"/>
              <w:keepLines w:val="0"/>
              <w:shd w:val="clear" w:color="auto" w:fill="auto"/>
              <w:bidi w:val="0"/>
              <w:jc w:val="left"/>
              <w:spacing w:before="0" w:after="0" w:line="274" w:lineRule="exact"/>
              <w:ind w:left="120" w:right="0" w:firstLine="0"/>
            </w:pPr>
            <w:r>
              <w:rPr>
                <w:rStyle w:val="CharStyle25"/>
              </w:rPr>
              <w:t>социально-ориентированные некоммерческие организации Данное ограничение установлено в связи с необходимостью исполнения заказчиком требований ч. 1 ст. 30 Федерального Закона №44-ФЗ</w:t>
            </w:r>
          </w:p>
        </w:tc>
      </w:tr>
      <w:tr>
        <w:trPr>
          <w:trHeight w:val="974" w:hRule="exact"/>
        </w:trPr>
        <w:tc>
          <w:tcPr>
            <w:shd w:val="clear" w:color="auto" w:fill="FFFFFF"/>
            <w:gridSpan w:val="3"/>
            <w:tcBorders>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322" w:lineRule="exact"/>
              <w:ind w:left="20" w:right="0" w:firstLine="860"/>
            </w:pPr>
            <w:r>
              <w:rPr>
                <w:rStyle w:val="CharStyle26"/>
              </w:rPr>
              <w:t>.» (цитата).</w:t>
            </w:r>
          </w:p>
          <w:p>
            <w:pPr>
              <w:pStyle w:val="Style7"/>
              <w:framePr w:w="10224" w:wrap="notBeside" w:vAnchor="text" w:hAnchor="text" w:xAlign="center" w:y="1"/>
              <w:widowControl w:val="0"/>
              <w:keepNext w:val="0"/>
              <w:keepLines w:val="0"/>
              <w:shd w:val="clear" w:color="auto" w:fill="auto"/>
              <w:bidi w:val="0"/>
              <w:jc w:val="left"/>
              <w:spacing w:before="0" w:after="0" w:line="322" w:lineRule="exact"/>
              <w:ind w:left="20" w:right="0" w:firstLine="860"/>
            </w:pPr>
            <w:r>
              <w:rPr>
                <w:rStyle w:val="CharStyle26"/>
              </w:rPr>
              <w:t xml:space="preserve">При этом в документации об Аукционе размер обеспечения заявки Заказчиком установлен в следующем размере: </w:t>
            </w:r>
            <w:r>
              <w:rPr>
                <w:rStyle w:val="CharStyle27"/>
              </w:rPr>
              <w:t>«...</w:t>
            </w:r>
          </w:p>
        </w:tc>
      </w:tr>
      <w:tr>
        <w:trPr>
          <w:trHeight w:val="850"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5"/>
              </w:rPr>
              <w:t>1.</w:t>
            </w:r>
          </w:p>
        </w:tc>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5"/>
              </w:rPr>
              <w:t>Размер обеспечения заявок на участие в электронном аукционе</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5"/>
              </w:rPr>
              <w:t>Обеспечение заявки составляет 5% от начальной (максимальной) цены контракта, что составляет 100000 руб. 00 коп.</w:t>
            </w:r>
          </w:p>
        </w:tc>
      </w:tr>
    </w:tbl>
    <w:p>
      <w:pPr>
        <w:pStyle w:val="Style2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4"/>
        </w:rPr>
        <w:t>.»</w:t>
      </w:r>
      <w:r>
        <w:rPr>
          <w:lang w:val="ru-RU" w:eastAsia="ru-RU" w:bidi="ru-RU"/>
          <w:w w:val="100"/>
          <w:spacing w:val="0"/>
          <w:color w:val="000000"/>
          <w:position w:val="0"/>
        </w:rPr>
        <w:t xml:space="preserve">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приведенное, действия Заказчика, установившего ненадлежащий размер обеспечения заявки участника, нарушают требования части 15 статьи 44,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7"/>
        </w:numPr>
        <w:tabs>
          <w:tab w:leader="none" w:pos="1388"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обязательное условие о порядке и сроках оплаты товара, работы или услуги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8 статьи 30 Закона о контрактной системе установлено, что в случае, если в извещении об осуществлении закупки установлены ограничения в соответствии с частью 3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Комиссией установлено, что Заказчик в Информационной карте документации об Аукционе установил: «.</w:t>
      </w:r>
    </w:p>
    <w:tbl>
      <w:tblPr>
        <w:tblOverlap w:val="never"/>
        <w:tblLayout w:type="fixed"/>
        <w:jc w:val="center"/>
      </w:tblPr>
      <w:tblGrid>
        <w:gridCol w:w="859"/>
        <w:gridCol w:w="2554"/>
        <w:gridCol w:w="6662"/>
        <w:gridCol w:w="149"/>
      </w:tblGrid>
      <w:tr>
        <w:trPr>
          <w:trHeight w:val="845"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5"/>
              </w:rPr>
              <w:t>1.</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25"/>
              </w:rPr>
              <w:t>Форма, сроки и порядок оплаты товара, работ, услуг</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25"/>
              </w:rPr>
              <w:t>Оплата выполненных работ по настоящему контракту производится по безналичному расчету, путем перечисления денежных средств на расчетный счет Подрядчика</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379" w:hRule="exact"/>
        </w:trPr>
        <w:tc>
          <w:tcPr>
            <w:shd w:val="clear" w:color="auto" w:fill="FFFFFF"/>
            <w:tcBorders>
              <w:top w:val="single" w:sz="4"/>
            </w:tcBorders>
            <w:vAlign w:val="top"/>
          </w:tcPr>
          <w:p>
            <w:pPr>
              <w:framePr w:w="10224" w:wrap="notBeside" w:vAnchor="text" w:hAnchor="text" w:xAlign="center" w:y="1"/>
              <w:widowControl w:val="0"/>
              <w:rPr>
                <w:sz w:val="10"/>
                <w:szCs w:val="10"/>
              </w:rPr>
            </w:pPr>
          </w:p>
        </w:tc>
        <w:tc>
          <w:tcPr>
            <w:shd w:val="clear" w:color="auto" w:fill="FFFFFF"/>
            <w:tcBorders>
              <w:top w:val="single" w:sz="4"/>
            </w:tcBorders>
            <w:vAlign w:val="top"/>
          </w:tcPr>
          <w:p>
            <w:pPr>
              <w:framePr w:w="10224" w:wrap="notBeside" w:vAnchor="text" w:hAnchor="text" w:xAlign="center" w:y="1"/>
              <w:widowControl w:val="0"/>
              <w:rPr>
                <w:sz w:val="10"/>
                <w:szCs w:val="10"/>
              </w:rPr>
            </w:pPr>
          </w:p>
        </w:tc>
        <w:tc>
          <w:tcPr>
            <w:shd w:val="clear" w:color="auto" w:fill="FFFFFF"/>
            <w:tcBorders>
              <w:top w:val="single" w:sz="4"/>
            </w:tcBorders>
            <w:vAlign w:val="top"/>
          </w:tcPr>
          <w:p>
            <w:pPr>
              <w:framePr w:w="10224" w:wrap="notBeside" w:vAnchor="text" w:hAnchor="text" w:xAlign="center" w:y="1"/>
              <w:widowControl w:val="0"/>
              <w:rPr>
                <w:sz w:val="10"/>
                <w:szCs w:val="10"/>
              </w:rPr>
            </w:pPr>
          </w:p>
        </w:tc>
        <w:tc>
          <w:tcPr>
            <w:shd w:val="clear" w:color="auto" w:fill="FFFFFF"/>
            <w:tcBorders/>
            <w:vAlign w:val="top"/>
          </w:tcPr>
          <w:p>
            <w:pPr>
              <w:framePr w:w="10224" w:wrap="notBeside" w:vAnchor="text" w:hAnchor="text" w:xAlign="center" w:y="1"/>
              <w:widowControl w:val="0"/>
              <w:rPr>
                <w:sz w:val="10"/>
                <w:szCs w:val="10"/>
              </w:rPr>
            </w:pPr>
          </w:p>
        </w:tc>
      </w:tr>
      <w:tr>
        <w:trPr>
          <w:trHeight w:val="1531"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5"/>
              </w:rPr>
              <w:t>1.</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5"/>
              </w:rPr>
              <w:t>В соответствии с ч. 1 ст. 30 ФЗ №44-ФЗ</w:t>
            </w:r>
          </w:p>
        </w:tc>
        <w:tc>
          <w:tcPr>
            <w:shd w:val="clear" w:color="auto" w:fill="FFFFFF"/>
            <w:gridSpan w:val="2"/>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5"/>
              </w:rPr>
              <w:t>Участниками закупки могут быть только:</w:t>
            </w:r>
          </w:p>
          <w:p>
            <w:pPr>
              <w:pStyle w:val="Style7"/>
              <w:numPr>
                <w:ilvl w:val="0"/>
                <w:numId w:val="13"/>
              </w:numPr>
              <w:framePr w:w="10224" w:wrap="notBeside" w:vAnchor="text" w:hAnchor="text" w:xAlign="center" w:y="1"/>
              <w:tabs>
                <w:tab w:leader="none" w:pos="216" w:val="left"/>
              </w:tabs>
              <w:widowControl w:val="0"/>
              <w:keepNext w:val="0"/>
              <w:keepLines w:val="0"/>
              <w:shd w:val="clear" w:color="auto" w:fill="auto"/>
              <w:bidi w:val="0"/>
              <w:jc w:val="both"/>
              <w:spacing w:before="0" w:after="0" w:line="250" w:lineRule="exact"/>
              <w:ind w:left="0" w:right="0" w:firstLine="0"/>
            </w:pPr>
            <w:r>
              <w:rPr>
                <w:rStyle w:val="CharStyle25"/>
              </w:rPr>
              <w:t>субъекты малого предпринимательства</w:t>
            </w:r>
          </w:p>
          <w:p>
            <w:pPr>
              <w:pStyle w:val="Style7"/>
              <w:numPr>
                <w:ilvl w:val="0"/>
                <w:numId w:val="13"/>
              </w:numPr>
              <w:framePr w:w="10224" w:wrap="notBeside" w:vAnchor="text" w:hAnchor="text" w:xAlign="center" w:y="1"/>
              <w:tabs>
                <w:tab w:leader="none" w:pos="365" w:val="left"/>
              </w:tabs>
              <w:widowControl w:val="0"/>
              <w:keepNext w:val="0"/>
              <w:keepLines w:val="0"/>
              <w:shd w:val="clear" w:color="auto" w:fill="auto"/>
              <w:bidi w:val="0"/>
              <w:jc w:val="left"/>
              <w:spacing w:before="0" w:after="0" w:line="250" w:lineRule="exact"/>
              <w:ind w:left="120" w:right="0" w:firstLine="0"/>
            </w:pPr>
            <w:r>
              <w:rPr>
                <w:rStyle w:val="CharStyle25"/>
              </w:rPr>
              <w:t>социально-ориентированные некоммерческие организации Данное ограничение установлено в связи с необходимостью исполнения заказчиком требований ч. 1 ст. 30 Федерального Закона №44-ФЗ</w:t>
            </w:r>
          </w:p>
        </w:tc>
      </w:tr>
      <w:tr>
        <w:trPr>
          <w:trHeight w:val="350" w:hRule="exact"/>
        </w:trPr>
        <w:tc>
          <w:tcPr>
            <w:shd w:val="clear" w:color="auto" w:fill="FFFFFF"/>
            <w:gridSpan w:val="4"/>
            <w:tcBorders>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60" w:lineRule="exact"/>
              <w:ind w:left="900" w:right="0" w:firstLine="0"/>
            </w:pPr>
            <w:r>
              <w:rPr>
                <w:rStyle w:val="CharStyle26"/>
              </w:rPr>
              <w:t>.» (цитаты).</w:t>
            </w:r>
          </w:p>
        </w:tc>
      </w:tr>
    </w:tbl>
    <w:p>
      <w:pPr>
        <w:widowControl w:val="0"/>
        <w:rPr>
          <w:sz w:val="2"/>
          <w:szCs w:val="2"/>
        </w:rPr>
      </w:pPr>
    </w:p>
    <w:p>
      <w:pPr>
        <w:pStyle w:val="Style7"/>
        <w:widowControl w:val="0"/>
        <w:keepNext w:val="0"/>
        <w:keepLines w:val="0"/>
        <w:shd w:val="clear" w:color="auto" w:fill="auto"/>
        <w:bidi w:val="0"/>
        <w:jc w:val="both"/>
        <w:spacing w:before="55" w:after="0" w:line="322" w:lineRule="exact"/>
        <w:ind w:left="20" w:right="20" w:firstLine="860"/>
      </w:pPr>
      <w:r>
        <w:rPr>
          <w:lang w:val="ru-RU" w:eastAsia="ru-RU" w:bidi="ru-RU"/>
          <w:w w:val="100"/>
          <w:spacing w:val="0"/>
          <w:color w:val="000000"/>
          <w:position w:val="0"/>
        </w:rPr>
        <w:t>При этом, Заказчик в разделе 2 «ЦЕНА КОНТРАКТА И ПОРЯДОК РАСЧЕТОВ» проекта контракта документации об Аукционе установил следующий срок оплаты товара: «.</w:t>
      </w:r>
    </w:p>
    <w:p>
      <w:pPr>
        <w:pStyle w:val="Style28"/>
        <w:numPr>
          <w:ilvl w:val="0"/>
          <w:numId w:val="15"/>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Оплата выполненных работ по настоящему контракту производится по безналичному расчету, путем перечисления денежных средств на расчетный счет Подрядчика, указанный в п. 13 настоящего контракта.</w:t>
      </w:r>
    </w:p>
    <w:p>
      <w:pPr>
        <w:pStyle w:val="Style28"/>
        <w:numPr>
          <w:ilvl w:val="0"/>
          <w:numId w:val="17"/>
        </w:numPr>
        <w:widowControl w:val="0"/>
        <w:keepNext w:val="0"/>
        <w:keepLines w:val="0"/>
        <w:shd w:val="clear" w:color="auto" w:fill="auto"/>
        <w:bidi w:val="0"/>
        <w:spacing w:before="0" w:after="22"/>
        <w:ind w:left="20" w:right="20" w:firstLine="860"/>
      </w:pPr>
      <w:r>
        <w:rPr>
          <w:lang w:val="ru-RU" w:eastAsia="ru-RU" w:bidi="ru-RU"/>
          <w:w w:val="100"/>
          <w:spacing w:val="0"/>
          <w:color w:val="000000"/>
          <w:position w:val="0"/>
        </w:rPr>
        <w:t xml:space="preserve"> Оплата фактически выполненных объемов работ по настоящему контракту производится Заказчиком ежемесячно либо по окончании выполнения работ в течение 30 (тридцати) календарных дней после предоставления Заказчику Подрядчиком Акта о приемке выполненных работ (КС-2), подписанного обеими сторонами, справки о стоимости выполненных работ и затрат (форма КС-3), товарных накладных и предъявленного Подрядчиком соответствующего счета (счет - фактуры) на оплату выполненных работ.</w:t>
      </w:r>
    </w:p>
    <w:p>
      <w:pPr>
        <w:pStyle w:val="Style7"/>
        <w:widowControl w:val="0"/>
        <w:keepNext w:val="0"/>
        <w:keepLines w:val="0"/>
        <w:shd w:val="clear" w:color="auto" w:fill="auto"/>
        <w:bidi w:val="0"/>
        <w:jc w:val="both"/>
        <w:spacing w:before="0" w:after="0" w:line="322" w:lineRule="exact"/>
        <w:ind w:left="20" w:right="0" w:firstLine="860"/>
      </w:pPr>
      <w:r>
        <w:rPr>
          <w:rStyle w:val="CharStyle3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то, что срок, установленный в 30 (тридцать) дней, превышает срок, установленный в 15 (пятнадцать) рабочих дней, Комиссия приходит к выводу, что Заказчиком не соблюдены требования части 8 статьи 30 Закона о контрактной системе.</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Данные действия Заказчика по ненадлежащему установлению в проекте контракта срока оплаты выполненных работ, нарушают требования части 8 статьи 30, частей 1, 13 статьи 34,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7"/>
        </w:numPr>
        <w:tabs>
          <w:tab w:leader="none" w:pos="141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1"/>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1"/>
          <w:lang w:val="en-US" w:eastAsia="en-US" w:bidi="en-US"/>
        </w:rPr>
        <w:t xml:space="preserve">N </w:t>
      </w:r>
      <w:r>
        <w:rPr>
          <w:rStyle w:val="CharStyle31"/>
        </w:rPr>
        <w:t xml:space="preserve">570 и признании утратившим силу постановления Правительства Российской Федерации от 25 ноября 2013 г. </w:t>
      </w:r>
      <w:r>
        <w:rPr>
          <w:rStyle w:val="CharStyle31"/>
          <w:lang w:val="en-US" w:eastAsia="en-US" w:bidi="en-US"/>
        </w:rPr>
        <w:t xml:space="preserve">N </w:t>
      </w:r>
      <w:r>
        <w:rPr>
          <w:rStyle w:val="CharStyle31"/>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7"/>
        </w:numPr>
        <w:tabs>
          <w:tab w:leader="none" w:pos="1868" w:val="left"/>
          <w:tab w:leader="none" w:pos="3927"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w:t>
        <w:tab/>
        <w:t>каждый факт</w:t>
        <w:tab/>
        <w:t>неисполнения или ненадлежащего исполнения</w:t>
      </w:r>
    </w:p>
    <w:p>
      <w:pPr>
        <w:pStyle w:val="Style7"/>
        <w:tabs>
          <w:tab w:leader="none" w:pos="1868" w:val="left"/>
          <w:tab w:leader="none" w:pos="3927"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68" w:val="left"/>
          <w:tab w:leader="none" w:pos="3927"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разделе 8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части не предусмотренной условиями настоящего Контракта, Стороны несут имущественную и иную ответственность по своим обязательствам в соответствии с действующим законодательством Российской Федерации.</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Ни одна из сторон не несет никакой ответственности по обязательствам другой стороны.</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Каждая Сторона должна исполнять свои обязательства, вытекающие из Контракта, надлежащим образом, оказывая другой Стороне всевозможное содействие в выполнении ей своих обязательств.</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Сторона, нарушившая свои обязательства по Контракту, должна без промедления устранить допущенные нарушения.</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случае возникновения претензий к Подрядчику в связи с привлечением им третьих лиц к выполнению работ, Подрядчик несет ответственность за действия третьих лиц, как за свои собственные.</w:t>
      </w:r>
    </w:p>
    <w:p>
      <w:pPr>
        <w:pStyle w:val="Style28"/>
        <w:numPr>
          <w:ilvl w:val="0"/>
          <w:numId w:val="19"/>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w:t>
      </w:r>
    </w:p>
    <w:p>
      <w:pPr>
        <w:pStyle w:val="Style28"/>
        <w:widowControl w:val="0"/>
        <w:keepNext w:val="0"/>
        <w:keepLines w:val="0"/>
        <w:shd w:val="clear" w:color="auto" w:fill="auto"/>
        <w:bidi w:val="0"/>
        <w:spacing w:before="0" w:after="0"/>
        <w:ind w:left="440" w:right="20" w:firstLine="0"/>
      </w:pPr>
      <w:r>
        <w:rPr>
          <w:lang w:val="ru-RU" w:eastAsia="ru-RU" w:bidi="ru-RU"/>
          <w:w w:val="100"/>
          <w:spacing w:val="0"/>
          <w:color w:val="000000"/>
          <w:position w:val="0"/>
        </w:rPr>
        <w:t xml:space="preserve">(подрядчиком,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r>
        <w:rPr>
          <w:lang w:val="ru-RU" w:eastAsia="ru-RU" w:bidi="ru-RU"/>
          <w:vertAlign w:val="superscript"/>
          <w:w w:val="100"/>
          <w:spacing w:val="0"/>
          <w:color w:val="000000"/>
          <w:position w:val="0"/>
        </w:rPr>
        <w:t>1</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д) 0,3 процента цены контракта (этапа) в случае, если цена контракта (этапа) составляет от 1 млрд. рублей до 2 млрд.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28"/>
        <w:widowControl w:val="0"/>
        <w:keepNext w:val="0"/>
        <w:keepLines w:val="0"/>
        <w:shd w:val="clear" w:color="auto" w:fill="auto"/>
        <w:bidi w:val="0"/>
        <w:spacing w:before="0" w:after="0"/>
        <w:ind w:left="440" w:right="0" w:firstLine="860"/>
      </w:pPr>
      <w:r>
        <w:rPr>
          <w:lang w:val="ru-RU" w:eastAsia="ru-RU" w:bidi="ru-RU"/>
          <w:w w:val="100"/>
          <w:spacing w:val="0"/>
          <w:color w:val="000000"/>
          <w:position w:val="0"/>
        </w:rPr>
        <w:t>и) 0,1 процента цены контракта (этапа) в случае, если цена контракта превышает 10 млрд.</w:t>
      </w:r>
    </w:p>
    <w:p>
      <w:pPr>
        <w:pStyle w:val="Style28"/>
        <w:widowControl w:val="0"/>
        <w:keepNext w:val="0"/>
        <w:keepLines w:val="0"/>
        <w:shd w:val="clear" w:color="auto" w:fill="auto"/>
        <w:bidi w:val="0"/>
        <w:spacing w:before="0" w:after="0"/>
        <w:ind w:left="440" w:right="0" w:firstLine="0"/>
      </w:pPr>
      <w:r>
        <w:rPr>
          <w:lang w:val="ru-RU" w:eastAsia="ru-RU" w:bidi="ru-RU"/>
          <w:w w:val="100"/>
          <w:spacing w:val="0"/>
          <w:color w:val="000000"/>
          <w:position w:val="0"/>
        </w:rPr>
        <w:t>рублей.</w:t>
      </w:r>
    </w:p>
    <w:p>
      <w:pPr>
        <w:pStyle w:val="Style28"/>
        <w:tabs>
          <w:tab w:leader="underscore" w:pos="5356" w:val="left"/>
        </w:tabs>
        <w:widowControl w:val="0"/>
        <w:keepNext w:val="0"/>
        <w:keepLines w:val="0"/>
        <w:shd w:val="clear" w:color="auto" w:fill="auto"/>
        <w:bidi w:val="0"/>
        <w:spacing w:before="0" w:after="0"/>
        <w:ind w:left="440" w:right="0" w:firstLine="860"/>
      </w:pPr>
      <w:r>
        <w:rPr>
          <w:lang w:val="ru-RU" w:eastAsia="ru-RU" w:bidi="ru-RU"/>
          <w:w w:val="100"/>
          <w:spacing w:val="0"/>
          <w:color w:val="000000"/>
          <w:position w:val="0"/>
        </w:rPr>
        <w:t>Сумма штрафа составляет</w:t>
        <w:tab/>
        <w:t>руб. коп.</w:t>
      </w:r>
    </w:p>
    <w:p>
      <w:pPr>
        <w:pStyle w:val="Style28"/>
        <w:numPr>
          <w:ilvl w:val="0"/>
          <w:numId w:val="19"/>
        </w:numPr>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30.08.2017 г. № 1042 ,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28"/>
        <w:widowControl w:val="0"/>
        <w:keepNext w:val="0"/>
        <w:keepLines w:val="0"/>
        <w:shd w:val="clear" w:color="auto" w:fill="auto"/>
        <w:bidi w:val="0"/>
        <w:spacing w:before="0" w:after="0"/>
        <w:ind w:left="440" w:right="0" w:firstLine="860"/>
      </w:pPr>
      <w:r>
        <w:rPr>
          <w:lang w:val="ru-RU" w:eastAsia="ru-RU" w:bidi="ru-RU"/>
          <w:w w:val="100"/>
          <w:spacing w:val="0"/>
          <w:color w:val="000000"/>
          <w:position w:val="0"/>
        </w:rPr>
        <w:t>Сумма штрафа составляет 200 000 руб. 00 коп.</w:t>
      </w:r>
    </w:p>
    <w:p>
      <w:pPr>
        <w:pStyle w:val="Style28"/>
        <w:numPr>
          <w:ilvl w:val="0"/>
          <w:numId w:val="19"/>
        </w:numPr>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28"/>
        <w:widowControl w:val="0"/>
        <w:keepNext w:val="0"/>
        <w:keepLines w:val="0"/>
        <w:shd w:val="clear" w:color="auto" w:fill="auto"/>
        <w:bidi w:val="0"/>
        <w:spacing w:before="0" w:after="0"/>
        <w:ind w:left="440" w:right="0" w:firstLine="860"/>
      </w:pPr>
      <w:r>
        <w:rPr>
          <w:lang w:val="ru-RU" w:eastAsia="ru-RU" w:bidi="ru-RU"/>
          <w:w w:val="100"/>
          <w:spacing w:val="0"/>
          <w:color w:val="000000"/>
          <w:position w:val="0"/>
        </w:rPr>
        <w:t>а) 1 000 рублей, если цена контракта не превышает 3 млн.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б) 5 000 рублей, если цена контракта составляет от 3 млн. рублей до 50 млн. рублей (включительно);</w:t>
      </w:r>
    </w:p>
    <w:p>
      <w:pPr>
        <w:pStyle w:val="Style28"/>
        <w:widowControl w:val="0"/>
        <w:keepNext w:val="0"/>
        <w:keepLines w:val="0"/>
        <w:shd w:val="clear" w:color="auto" w:fill="auto"/>
        <w:bidi w:val="0"/>
        <w:spacing w:before="0" w:after="0"/>
        <w:ind w:left="440" w:right="20" w:firstLine="860"/>
      </w:pPr>
      <w:r>
        <w:rPr>
          <w:lang w:val="ru-RU" w:eastAsia="ru-RU" w:bidi="ru-RU"/>
          <w:w w:val="100"/>
          <w:spacing w:val="0"/>
          <w:color w:val="000000"/>
          <w:position w:val="0"/>
        </w:rPr>
        <w:t>в) 10 000 рублей, если цена контракта составляет от 50 млн. рублей до 100 млн. рублей (включительно);</w:t>
      </w:r>
    </w:p>
    <w:p>
      <w:pPr>
        <w:pStyle w:val="Style28"/>
        <w:widowControl w:val="0"/>
        <w:keepNext w:val="0"/>
        <w:keepLines w:val="0"/>
        <w:shd w:val="clear" w:color="auto" w:fill="auto"/>
        <w:bidi w:val="0"/>
        <w:spacing w:before="0" w:after="0"/>
        <w:ind w:left="440" w:right="0" w:firstLine="860"/>
      </w:pPr>
      <w:r>
        <w:rPr>
          <w:lang w:val="ru-RU" w:eastAsia="ru-RU" w:bidi="ru-RU"/>
          <w:w w:val="100"/>
          <w:spacing w:val="0"/>
          <w:color w:val="000000"/>
          <w:position w:val="0"/>
        </w:rPr>
        <w:t>г) 100 000 рублей, если цена контракта превышает 100 млн. рублей.</w:t>
      </w:r>
    </w:p>
    <w:p>
      <w:pPr>
        <w:pStyle w:val="Style28"/>
        <w:widowControl w:val="0"/>
        <w:keepNext w:val="0"/>
        <w:keepLines w:val="0"/>
        <w:shd w:val="clear" w:color="auto" w:fill="auto"/>
        <w:bidi w:val="0"/>
        <w:spacing w:before="0" w:after="230"/>
        <w:ind w:left="440" w:right="20" w:firstLine="860"/>
      </w:pPr>
      <w:r>
        <w:rPr>
          <w:lang w:val="ru-RU" w:eastAsia="ru-RU" w:bidi="ru-RU"/>
          <w:w w:val="100"/>
          <w:spacing w:val="0"/>
          <w:color w:val="000000"/>
          <w:position w:val="0"/>
        </w:rPr>
        <w:t>В случае, если ненадлежащее исполнение Заказчиком обязанности по оплате работ Подрядчика было вызвано не поступлением либо несвоевременным поступление средств бюджетного финансирования, Заказчик не может быть привлечен к ответственности.</w:t>
      </w:r>
    </w:p>
    <w:p>
      <w:pPr>
        <w:pStyle w:val="Style32"/>
        <w:widowControl w:val="0"/>
        <w:keepNext w:val="0"/>
        <w:keepLines w:val="0"/>
        <w:shd w:val="clear" w:color="auto" w:fill="auto"/>
        <w:bidi w:val="0"/>
        <w:spacing w:before="0" w:after="0"/>
        <w:ind w:left="0" w:right="20" w:firstLine="0"/>
      </w:pPr>
      <w:r>
        <w:rPr>
          <w:lang w:val="ru-RU" w:eastAsia="ru-RU" w:bidi="ru-RU"/>
          <w:vertAlign w:val="superscript"/>
          <w:w w:val="100"/>
          <w:spacing w:val="0"/>
          <w:color w:val="000000"/>
          <w:position w:val="0"/>
        </w:rPr>
        <w:t>1; 2</w:t>
      </w:r>
      <w:r>
        <w:rPr>
          <w:lang w:val="ru-RU" w:eastAsia="ru-RU" w:bidi="ru-RU"/>
          <w:w w:val="100"/>
          <w:spacing w:val="0"/>
          <w:color w:val="000000"/>
          <w:position w:val="0"/>
        </w:rPr>
        <w:t xml:space="preserve">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Российской Федерации от 30.08.2017 г. № 1042.</w:t>
      </w:r>
    </w:p>
    <w:p>
      <w:pPr>
        <w:pStyle w:val="Style2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случае задержки финансирования из бюджета, а также из дополнительных источников Заказчик ставит в известность об этом Подрядчика и производит оплату выполненных работ по мере поступления денежных средств.</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28"/>
        <w:numPr>
          <w:ilvl w:val="0"/>
          <w:numId w:val="1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Стороны освобождаются от ответственности за неисполнение или ненадлежащее исполнение обязательств по контракту в случае наступления форс-мажорных обстоятельств.</w:t>
      </w:r>
    </w:p>
    <w:p>
      <w:pPr>
        <w:pStyle w:val="Style2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Под форс- мажорными обстоятельствами понимается наступление таких обстоятельств, при которых Стороны, действующие с разумной осмотрительностью, по независящим от них причинам не могут исполнить обязательства надлежащим образом: в частности, к таким обстоятельствам относятся военные действия, стихийные бедствия, решения органов исполнительной власти, обязательные для выполнения Заказчиком.</w:t>
      </w:r>
    </w:p>
    <w:p>
      <w:pPr>
        <w:pStyle w:val="Style2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При наступлении форс-мажорных обстоятельств, Стороны обязаны письменно известить друг друга о наступлении указанных обстоятельств в трехдневный срок с подтверждением их факта актами компетентных органов. В случае невыполнения настоящего условия, виновная Сторона не имеет права ссылаться на любое из вышеуказанных обстоятельств, и обязана возместить все убытки, вызванные неисполнением или ненадлежащим исполнением обязательств по настоящему контракту.</w:t>
      </w:r>
    </w:p>
    <w:p>
      <w:pPr>
        <w:pStyle w:val="Style7"/>
        <w:widowControl w:val="0"/>
        <w:keepNext w:val="0"/>
        <w:keepLines w:val="0"/>
        <w:shd w:val="clear" w:color="auto" w:fill="auto"/>
        <w:bidi w:val="0"/>
        <w:jc w:val="both"/>
        <w:spacing w:before="0" w:after="0" w:line="260" w:lineRule="exact"/>
        <w:ind w:left="20" w:right="0" w:firstLine="860"/>
      </w:pPr>
      <w:r>
        <w:rPr>
          <w:rStyle w:val="CharStyle3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на заседании Комиссии представитель Заказчика письменно ходатайствовал о выдаче Комиссией предписания по делу о повторном рассмотрении первых частей заявок участников.</w:t>
      </w:r>
    </w:p>
    <w:p>
      <w:pPr>
        <w:pStyle w:val="Style7"/>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Учитывая приведенное, с учетом письменного ходатайства представителя Заказчика, Комиссией установлено, что выявленные нарушения по делу не повлияли на рассмотрения первых частей заявок участников.</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21"/>
        </w:numPr>
        <w:tabs>
          <w:tab w:leader="none" w:pos="1174"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Признать жалобу Заявителя необоснованной.</w:t>
      </w:r>
      <w:r>
        <w:br w:type="page"/>
      </w:r>
    </w:p>
    <w:p>
      <w:pPr>
        <w:pStyle w:val="Style7"/>
        <w:numPr>
          <w:ilvl w:val="0"/>
          <w:numId w:val="21"/>
        </w:numPr>
        <w:widowControl w:val="0"/>
        <w:keepNext w:val="0"/>
        <w:keepLines w:val="0"/>
        <w:shd w:val="clear" w:color="auto" w:fill="auto"/>
        <w:bidi w:val="0"/>
        <w:jc w:val="both"/>
        <w:spacing w:before="0" w:after="56" w:line="322" w:lineRule="exact"/>
        <w:ind w:left="0" w:right="20" w:firstLine="860"/>
      </w:pPr>
      <w:r>
        <w:rPr>
          <w:lang w:val="ru-RU" w:eastAsia="ru-RU" w:bidi="ru-RU"/>
          <w:w w:val="100"/>
          <w:spacing w:val="0"/>
          <w:color w:val="000000"/>
          <w:position w:val="0"/>
        </w:rPr>
        <w:t xml:space="preserve"> Признать Заказчика нарушившим требования части 8 статьи 30, частей 1, 5, 7, 8, 13 статьи 34, части 15 статьи 44, частей 1, 4 статьи 64 Закона о контрактной системе, пунктов 2-10 Правил от 30.08.2017 № 1042.</w:t>
      </w:r>
    </w:p>
    <w:p>
      <w:pPr>
        <w:pStyle w:val="Style7"/>
        <w:numPr>
          <w:ilvl w:val="0"/>
          <w:numId w:val="21"/>
        </w:numPr>
        <w:widowControl w:val="0"/>
        <w:keepNext w:val="0"/>
        <w:keepLines w:val="0"/>
        <w:shd w:val="clear" w:color="auto" w:fill="auto"/>
        <w:bidi w:val="0"/>
        <w:jc w:val="both"/>
        <w:spacing w:before="0" w:after="64" w:line="326"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1"/>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№06/4169-17 для рассмотрения вопроса о возбуждении дела об административном правонарушении.</w:t>
      </w:r>
    </w:p>
    <w:p>
      <w:pPr>
        <w:pStyle w:val="Style7"/>
        <w:numPr>
          <w:ilvl w:val="0"/>
          <w:numId w:val="21"/>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№06/12522.</w:t>
      </w:r>
    </w:p>
    <w:p>
      <w:pPr>
        <w:pStyle w:val="Style7"/>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90"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90"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21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35" w:val="left"/>
        </w:tabs>
        <w:widowControl w:val="0"/>
        <w:keepNext w:val="0"/>
        <w:keepLines w:val="0"/>
        <w:shd w:val="clear" w:color="auto" w:fill="auto"/>
        <w:bidi w:val="0"/>
        <w:jc w:val="both"/>
        <w:spacing w:before="0" w:after="0" w:line="260" w:lineRule="exact"/>
        <w:ind w:left="5800" w:right="0" w:firstLine="0"/>
        <w:sectPr>
          <w:pgSz w:w="11906" w:h="16838"/>
          <w:pgMar w:top="1378" w:left="644" w:right="620" w:bottom="869"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0" w:after="176"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238"/>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3"/>
        </w:numPr>
        <w:tabs>
          <w:tab w:leader="none" w:pos="1365" w:val="left"/>
        </w:tabs>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№06/12866</w:t>
      </w:r>
    </w:p>
    <w:p>
      <w:pPr>
        <w:pStyle w:val="Style7"/>
        <w:numPr>
          <w:ilvl w:val="0"/>
          <w:numId w:val="25"/>
        </w:numPr>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296"/>
        <w:ind w:left="20" w:right="0" w:firstLine="0"/>
      </w:pPr>
      <w:r>
        <w:rPr>
          <w:lang w:val="ru-RU" w:eastAsia="ru-RU" w:bidi="ru-RU"/>
          <w:w w:val="100"/>
          <w:spacing w:val="0"/>
          <w:color w:val="000000"/>
          <w:position w:val="0"/>
        </w:rPr>
        <w:t xml:space="preserve">Управление жилищно-коммунального хозяйства администрации города Керчи Республики Крым </w:t>
      </w:r>
      <w:r>
        <w:rPr>
          <w:lang w:val="en-US" w:eastAsia="en-US" w:bidi="en-US"/>
          <w:w w:val="100"/>
          <w:spacing w:val="0"/>
          <w:color w:val="000000"/>
          <w:position w:val="0"/>
        </w:rPr>
        <w:t xml:space="preserve">298300, </w:t>
      </w:r>
      <w:r>
        <w:rPr>
          <w:lang w:val="ru-RU" w:eastAsia="ru-RU" w:bidi="ru-RU"/>
          <w:w w:val="100"/>
          <w:spacing w:val="0"/>
          <w:color w:val="000000"/>
          <w:position w:val="0"/>
        </w:rPr>
        <w:t xml:space="preserve">Республика Крым, г. Керчь, ул. Кирова, д. </w:t>
      </w:r>
      <w:r>
        <w:rPr>
          <w:lang w:val="en-US" w:eastAsia="en-US" w:bidi="en-US"/>
          <w:w w:val="100"/>
          <w:spacing w:val="0"/>
          <w:color w:val="000000"/>
          <w:position w:val="0"/>
        </w:rPr>
        <w:t>5</w:t>
      </w:r>
    </w:p>
    <w:p>
      <w:pPr>
        <w:pStyle w:val="Style7"/>
        <w:numPr>
          <w:ilvl w:val="0"/>
          <w:numId w:val="25"/>
        </w:numPr>
        <w:widowControl w:val="0"/>
        <w:keepNext w:val="0"/>
        <w:keepLines w:val="0"/>
        <w:shd w:val="clear" w:color="auto" w:fill="auto"/>
        <w:bidi w:val="0"/>
        <w:jc w:val="left"/>
        <w:spacing w:before="0" w:after="0" w:line="322" w:lineRule="exact"/>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«Детские площадки»</w:t>
      </w:r>
    </w:p>
    <w:p>
      <w:pPr>
        <w:pStyle w:val="Style7"/>
        <w:widowControl w:val="0"/>
        <w:keepNext w:val="0"/>
        <w:keepLines w:val="0"/>
        <w:shd w:val="clear" w:color="auto" w:fill="auto"/>
        <w:bidi w:val="0"/>
        <w:jc w:val="left"/>
        <w:spacing w:before="0" w:after="0" w:line="322" w:lineRule="exact"/>
        <w:ind w:left="20" w:right="0" w:firstLine="0"/>
        <w:sectPr>
          <w:pgSz w:w="11906" w:h="16838"/>
          <w:pgMar w:top="1441" w:left="827" w:right="1307" w:bottom="606" w:header="0" w:footer="3" w:gutter="0"/>
          <w:rtlGutter w:val="0"/>
          <w:cols w:num="2" w:space="268"/>
          <w:noEndnote/>
          <w:docGrid w:linePitch="360"/>
        </w:sectPr>
      </w:pPr>
      <w:r>
        <w:rPr>
          <w:lang w:val="ru-RU" w:eastAsia="ru-RU" w:bidi="ru-RU"/>
          <w:w w:val="100"/>
          <w:spacing w:val="0"/>
          <w:color w:val="000000"/>
          <w:position w:val="0"/>
        </w:rPr>
        <w:t>450078, Республика Башкортостан, г. Уфа, ул. Мингажева, д. 59/1, кв. 30</w:t>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tabs>
          <w:tab w:leader="none" w:pos="5165" w:val="center"/>
          <w:tab w:leader="none" w:pos="5918" w:val="center"/>
          <w:tab w:leader="none" w:pos="8054" w:val="right"/>
          <w:tab w:leader="none" w:pos="8233"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На № 30 от 01.11.2017</w:t>
        <w:tab/>
        <w:t>3.</w:t>
        <w:tab/>
        <w:t>Оператор</w:t>
        <w:tab/>
        <w:t>электронной</w:t>
        <w:tab/>
        <w:t>площадки:</w:t>
      </w:r>
    </w:p>
    <w:p>
      <w:pPr>
        <w:pStyle w:val="Style7"/>
        <w:widowControl w:val="0"/>
        <w:keepNext w:val="0"/>
        <w:keepLines w:val="0"/>
        <w:shd w:val="clear" w:color="auto" w:fill="auto"/>
        <w:bidi w:val="0"/>
        <w:jc w:val="left"/>
        <w:spacing w:before="0" w:after="0" w:line="322" w:lineRule="exact"/>
        <w:ind w:left="5080" w:right="0" w:firstLine="0"/>
      </w:pPr>
      <w:r>
        <w:rPr>
          <w:lang w:val="ru-RU" w:eastAsia="ru-RU" w:bidi="ru-RU"/>
          <w:w w:val="100"/>
          <w:spacing w:val="0"/>
          <w:color w:val="000000"/>
          <w:position w:val="0"/>
        </w:rPr>
        <w:t>ЗАО «Сбербанк-АСТ»</w:t>
      </w:r>
    </w:p>
    <w:p>
      <w:pPr>
        <w:pStyle w:val="Style7"/>
        <w:widowControl w:val="0"/>
        <w:keepNext w:val="0"/>
        <w:keepLines w:val="0"/>
        <w:shd w:val="clear" w:color="auto" w:fill="auto"/>
        <w:bidi w:val="0"/>
        <w:jc w:val="left"/>
        <w:spacing w:before="0" w:after="0" w:line="322" w:lineRule="exact"/>
        <w:ind w:left="508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60" w:line="322" w:lineRule="exact"/>
        <w:ind w:left="5080" w:right="0" w:firstLine="0"/>
      </w:pPr>
      <w:r>
        <w:rPr>
          <w:lang w:val="ru-RU" w:eastAsia="ru-RU" w:bidi="ru-RU"/>
          <w:w w:val="100"/>
          <w:spacing w:val="0"/>
          <w:color w:val="000000"/>
          <w:position w:val="0"/>
        </w:rPr>
        <w:t>ул. Большая Якиманка, д. 23</w:t>
      </w:r>
    </w:p>
    <w:p>
      <w:pPr>
        <w:pStyle w:val="Style10"/>
        <w:widowControl w:val="0"/>
        <w:keepNext w:val="0"/>
        <w:keepLines w:val="0"/>
        <w:shd w:val="clear" w:color="auto" w:fill="auto"/>
        <w:bidi w:val="0"/>
        <w:spacing w:before="0" w:after="109"/>
        <w:ind w:left="0" w:right="100" w:firstLine="0"/>
      </w:pPr>
      <w:r>
        <w:rPr>
          <w:lang w:val="ru-RU" w:eastAsia="ru-RU" w:bidi="ru-RU"/>
          <w:w w:val="100"/>
          <w:spacing w:val="0"/>
          <w:color w:val="000000"/>
          <w:position w:val="0"/>
        </w:rPr>
        <w:t>Предписание по делу №06/4169-17 об устранении нарушений законодательства Российской Федерации о контрактной системе в сфере закупок</w:t>
      </w:r>
    </w:p>
    <w:p>
      <w:pPr>
        <w:pStyle w:val="Style7"/>
        <w:numPr>
          <w:ilvl w:val="0"/>
          <w:numId w:val="27"/>
        </w:numPr>
        <w:tabs>
          <w:tab w:leader="none" w:pos="10042" w:val="right"/>
          <w:tab w:leader="none" w:pos="8151" w:val="left"/>
        </w:tabs>
        <w:widowControl w:val="0"/>
        <w:keepNext w:val="0"/>
        <w:keepLines w:val="0"/>
        <w:shd w:val="clear" w:color="auto" w:fill="auto"/>
        <w:bidi w:val="0"/>
        <w:jc w:val="both"/>
        <w:spacing w:before="0" w:after="133" w:line="260" w:lineRule="exact"/>
        <w:ind w:left="3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6"/>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36"/>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289" w:line="322" w:lineRule="exact"/>
        <w:ind w:left="1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36"/>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255" w:line="260" w:lineRule="exact"/>
        <w:ind w:left="12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2" w:line="312" w:lineRule="exact"/>
        <w:ind w:left="1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на основании решения Комиссии от 07.11.2017 по делу №06/4169-17 по итогам рассмотрения жалобы Заявителя от 01.11.207 № 30 (вх. №4761/09 от 01.11.2017) на действия Единой комиссии Заказчика при проведении аукциона в электронной форме «Выполнение работ по оборудованию детских игровых площадок по адресам: г. Керчь, ул. К. Маркса, д.1, ул. Всесоюзная, д.1, ул. Островского, д.110, ул. Генерала Петрова, д.76, ул. Вокзальное шоссе, д. 35, Шоссе Героев Сталинграда» (извещение №0175300011917000085) (далее — Аукцион), в соответствии с частью 22 статьи 99, частью 8 статьи 106 Федерального закона от 05.04.2013 №44-ФЗ «О контрактной</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29"/>
        </w:numPr>
        <w:tabs>
          <w:tab w:leader="none" w:pos="156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отменить протокол рассмотрения заявок на участие в электронном аукционе от 30.10.2017 № 0175300011917000085-1, протокол рассмотрения заявки единственного участника электронного аукциона от</w:t>
      </w:r>
    </w:p>
    <w:p>
      <w:pPr>
        <w:pStyle w:val="Style7"/>
        <w:numPr>
          <w:ilvl w:val="0"/>
          <w:numId w:val="31"/>
        </w:numPr>
        <w:tabs>
          <w:tab w:leader="none" w:pos="1566" w:val="left"/>
          <w:tab w:leader="none" w:pos="1566" w:val="left"/>
        </w:tabs>
        <w:widowControl w:val="0"/>
        <w:keepNext w:val="0"/>
        <w:keepLines w:val="0"/>
        <w:shd w:val="clear" w:color="auto" w:fill="auto"/>
        <w:bidi w:val="0"/>
        <w:jc w:val="both"/>
        <w:spacing w:before="0" w:after="289" w:line="322" w:lineRule="exact"/>
        <w:ind w:left="20" w:right="20" w:firstLine="0"/>
      </w:pPr>
      <w:r>
        <w:rPr>
          <w:lang w:val="ru-RU" w:eastAsia="ru-RU" w:bidi="ru-RU"/>
          <w:w w:val="100"/>
          <w:spacing w:val="0"/>
          <w:color w:val="000000"/>
          <w:position w:val="0"/>
        </w:rPr>
        <w:t>№ 0175300011917000085-2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29"/>
        </w:numPr>
        <w:widowControl w:val="0"/>
        <w:keepNext w:val="0"/>
        <w:keepLines w:val="0"/>
        <w:shd w:val="clear" w:color="auto" w:fill="auto"/>
        <w:bidi w:val="0"/>
        <w:jc w:val="both"/>
        <w:spacing w:before="0" w:after="243" w:line="260" w:lineRule="exact"/>
        <w:ind w:left="20" w:right="0" w:firstLine="860"/>
      </w:pPr>
      <w:r>
        <w:rPr>
          <w:lang w:val="ru-RU" w:eastAsia="ru-RU" w:bidi="ru-RU"/>
          <w:w w:val="100"/>
          <w:spacing w:val="0"/>
          <w:color w:val="000000"/>
          <w:position w:val="0"/>
        </w:rPr>
        <w:t xml:space="preserve"> Заказчику:</w:t>
      </w:r>
    </w:p>
    <w:p>
      <w:pPr>
        <w:pStyle w:val="Style7"/>
        <w:numPr>
          <w:ilvl w:val="0"/>
          <w:numId w:val="5"/>
        </w:numPr>
        <w:widowControl w:val="0"/>
        <w:keepNext w:val="0"/>
        <w:keepLines w:val="0"/>
        <w:shd w:val="clear" w:color="auto" w:fill="auto"/>
        <w:bidi w:val="0"/>
        <w:jc w:val="both"/>
        <w:spacing w:before="0" w:after="248" w:line="322" w:lineRule="exact"/>
        <w:ind w:left="20" w:right="20" w:firstLine="860"/>
      </w:pPr>
      <w:r>
        <w:rPr>
          <w:lang w:val="ru-RU" w:eastAsia="ru-RU" w:bidi="ru-RU"/>
          <w:w w:val="100"/>
          <w:spacing w:val="0"/>
          <w:color w:val="000000"/>
          <w:position w:val="0"/>
        </w:rPr>
        <w:t xml:space="preserve"> назначить дату рассмотрения первых частей заявок на участие в Аукционе, дату проведения Аукциона, а также разместить на официальном сайте информацию о дате рассмотрения первых частей заявок на участие в Аукционе и дате проведения Аукциона.</w:t>
      </w:r>
    </w:p>
    <w:p>
      <w:pPr>
        <w:pStyle w:val="Style7"/>
        <w:numPr>
          <w:ilvl w:val="0"/>
          <w:numId w:val="29"/>
        </w:numPr>
        <w:widowControl w:val="0"/>
        <w:keepNext w:val="0"/>
        <w:keepLines w:val="0"/>
        <w:shd w:val="clear" w:color="auto" w:fill="auto"/>
        <w:bidi w:val="0"/>
        <w:jc w:val="both"/>
        <w:spacing w:before="0" w:after="232" w:line="31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5"/>
        </w:numPr>
        <w:widowControl w:val="0"/>
        <w:keepNext w:val="0"/>
        <w:keepLines w:val="0"/>
        <w:shd w:val="clear" w:color="auto" w:fill="auto"/>
        <w:bidi w:val="0"/>
        <w:jc w:val="both"/>
        <w:spacing w:before="0" w:after="244" w:line="322" w:lineRule="exact"/>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5"/>
        </w:numPr>
        <w:widowControl w:val="0"/>
        <w:keepNext w:val="0"/>
        <w:keepLines w:val="0"/>
        <w:shd w:val="clear" w:color="auto" w:fill="auto"/>
        <w:bidi w:val="0"/>
        <w:jc w:val="both"/>
        <w:spacing w:before="0" w:after="236"/>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об отмене Протоколов, Протокола проведения Аукциона, о дате рассмотрения первых частей заявок на участие в Аукционе, дате и времени проведения Аукциона.</w:t>
      </w:r>
    </w:p>
    <w:p>
      <w:pPr>
        <w:pStyle w:val="Style7"/>
        <w:numPr>
          <w:ilvl w:val="0"/>
          <w:numId w:val="2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Единой комиссии Заказчика рассмотреть первые части заявок, поданных участниками закупки до окончания срока подачи заявок на участие в Аукционе, в том числе заявку Заявителя, в соответствии с положениями законодательства Российской Федерации о контрактной системе в сфере закупок и с учетом решения от 07.11.2017 по делу №06/4169-17.</w:t>
      </w:r>
      <w:r>
        <w:br w:type="page"/>
      </w:r>
    </w:p>
    <w:p>
      <w:pPr>
        <w:pStyle w:val="Style7"/>
        <w:numPr>
          <w:ilvl w:val="0"/>
          <w:numId w:val="29"/>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07.11.2017 по делу №06/4169-17.</w:t>
      </w:r>
    </w:p>
    <w:p>
      <w:pPr>
        <w:pStyle w:val="Style7"/>
        <w:numPr>
          <w:ilvl w:val="0"/>
          <w:numId w:val="29"/>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07.11.2017 по делу №06/4169-17.</w:t>
      </w:r>
    </w:p>
    <w:p>
      <w:pPr>
        <w:pStyle w:val="Style7"/>
        <w:numPr>
          <w:ilvl w:val="0"/>
          <w:numId w:val="29"/>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27.11.2017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9"/>
        </w:numPr>
        <w:widowControl w:val="0"/>
        <w:keepNext w:val="0"/>
        <w:keepLines w:val="0"/>
        <w:shd w:val="clear" w:color="auto" w:fill="auto"/>
        <w:bidi w:val="0"/>
        <w:jc w:val="both"/>
        <w:spacing w:before="0" w:after="836"/>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01.11.2017 №06/12522</w:t>
      </w:r>
    </w:p>
    <w:p>
      <w:pPr>
        <w:pStyle w:val="Style7"/>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framePr w:w="2163" w:h="1934" w:wrap="around" w:vAnchor="text" w:hAnchor="margin" w:x="7751" w:y="2569"/>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widowControl w:val="0"/>
        <w:keepNext w:val="0"/>
        <w:keepLines w:val="0"/>
        <w:shd w:val="clear" w:color="auto" w:fill="auto"/>
        <w:bidi w:val="0"/>
        <w:jc w:val="left"/>
        <w:spacing w:before="0" w:after="0" w:line="643"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1906" w:h="16838"/>
      <w:pgMar w:top="1554" w:left="805" w:right="781" w:bottom="97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4"/>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4"/>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u w:val="single"/>
      <w:w w:val="100"/>
      <w:spacing w:val="0"/>
      <w:color w:val="000000"/>
      <w:position w:val="0"/>
    </w:rPr>
  </w:style>
  <w:style w:type="character" w:customStyle="1" w:styleId="CharStyle15">
    <w:name w:val="Основной текст (5) Exact"/>
    <w:basedOn w:val="DefaultParagraphFont"/>
    <w:link w:val="Style14"/>
    <w:rPr>
      <w:b/>
      <w:bCs/>
      <w:i w:val="0"/>
      <w:iCs w:val="0"/>
      <w:u w:val="none"/>
      <w:strike w:val="0"/>
      <w:smallCaps w:val="0"/>
      <w:sz w:val="17"/>
      <w:szCs w:val="17"/>
      <w:rFonts w:ascii="Times New Roman" w:eastAsia="Times New Roman" w:hAnsi="Times New Roman" w:cs="Times New Roman"/>
      <w:spacing w:val="-3"/>
    </w:rPr>
  </w:style>
  <w:style w:type="character" w:customStyle="1" w:styleId="CharStyle16">
    <w:name w:val="Основной текст (5) Exact"/>
    <w:basedOn w:val="CharStyle15"/>
    <w:rPr>
      <w:lang w:val="ru-RU" w:eastAsia="ru-RU" w:bidi="ru-RU"/>
      <w:u w:val="single"/>
      <w:w w:val="100"/>
      <w:color w:val="000000"/>
      <w:position w:val="0"/>
    </w:rPr>
  </w:style>
  <w:style w:type="character" w:customStyle="1" w:styleId="CharStyle17">
    <w:name w:val="Основной текст + 9 pt,Полужирный"/>
    <w:basedOn w:val="CharStyle9"/>
    <w:rPr>
      <w:lang w:val="ru-RU" w:eastAsia="ru-RU" w:bidi="ru-RU"/>
      <w:b/>
      <w:bCs/>
      <w:sz w:val="18"/>
      <w:szCs w:val="18"/>
      <w:w w:val="100"/>
      <w:spacing w:val="0"/>
      <w:color w:val="000000"/>
      <w:position w:val="0"/>
    </w:rPr>
  </w:style>
  <w:style w:type="character" w:customStyle="1" w:styleId="CharStyle18">
    <w:name w:val="Основной текст"/>
    <w:basedOn w:val="CharStyle9"/>
    <w:rPr>
      <w:lang w:val="ru-RU" w:eastAsia="ru-RU" w:bidi="ru-RU"/>
      <w:w w:val="100"/>
      <w:spacing w:val="0"/>
      <w:color w:val="000000"/>
      <w:position w:val="0"/>
    </w:rPr>
  </w:style>
  <w:style w:type="character" w:customStyle="1" w:styleId="CharStyle19">
    <w:name w:val="Основной текст + 8,5 pt,Полужирный"/>
    <w:basedOn w:val="CharStyle9"/>
    <w:rPr>
      <w:lang w:val="ru-RU" w:eastAsia="ru-RU" w:bidi="ru-RU"/>
      <w:b/>
      <w:bCs/>
      <w:sz w:val="17"/>
      <w:szCs w:val="17"/>
      <w:w w:val="100"/>
      <w:spacing w:val="0"/>
      <w:color w:val="000000"/>
      <w:position w:val="0"/>
    </w:rPr>
  </w:style>
  <w:style w:type="character" w:customStyle="1" w:styleId="CharStyle20">
    <w:name w:val="Основной текст + 8,5 pt"/>
    <w:basedOn w:val="CharStyle9"/>
    <w:rPr>
      <w:lang w:val="ru-RU" w:eastAsia="ru-RU" w:bidi="ru-RU"/>
      <w:sz w:val="17"/>
      <w:szCs w:val="17"/>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Подпись к таблице"/>
    <w:basedOn w:val="CharStyle22"/>
    <w:rPr>
      <w:lang w:val="ru-RU" w:eastAsia="ru-RU" w:bidi="ru-RU"/>
      <w:u w:val="single"/>
      <w:w w:val="100"/>
      <w:spacing w:val="0"/>
      <w:color w:val="000000"/>
      <w:position w:val="0"/>
    </w:rPr>
  </w:style>
  <w:style w:type="character" w:customStyle="1" w:styleId="CharStyle24">
    <w:name w:val="Подпись к таблице"/>
    <w:basedOn w:val="CharStyle22"/>
    <w:rPr>
      <w:lang w:val="ru-RU" w:eastAsia="ru-RU" w:bidi="ru-RU"/>
      <w:w w:val="100"/>
      <w:spacing w:val="0"/>
      <w:color w:val="000000"/>
      <w:position w:val="0"/>
    </w:rPr>
  </w:style>
  <w:style w:type="character" w:customStyle="1" w:styleId="CharStyle25">
    <w:name w:val="Основной текст + 11 pt"/>
    <w:basedOn w:val="CharStyle9"/>
    <w:rPr>
      <w:lang w:val="ru-RU" w:eastAsia="ru-RU" w:bidi="ru-RU"/>
      <w:sz w:val="22"/>
      <w:szCs w:val="22"/>
      <w:w w:val="100"/>
      <w:spacing w:val="0"/>
      <w:color w:val="000000"/>
      <w:position w:val="0"/>
    </w:rPr>
  </w:style>
  <w:style w:type="character" w:customStyle="1" w:styleId="CharStyle26">
    <w:name w:val="Основной текст"/>
    <w:basedOn w:val="CharStyle9"/>
    <w:rPr>
      <w:lang w:val="ru-RU" w:eastAsia="ru-RU" w:bidi="ru-RU"/>
      <w:w w:val="100"/>
      <w:spacing w:val="0"/>
      <w:color w:val="000000"/>
      <w:position w:val="0"/>
    </w:rPr>
  </w:style>
  <w:style w:type="character" w:customStyle="1" w:styleId="CharStyle27">
    <w:name w:val="Основной текст"/>
    <w:basedOn w:val="CharStyle9"/>
    <w:rPr>
      <w:lang w:val="ru-RU" w:eastAsia="ru-RU" w:bidi="ru-RU"/>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 Интервал 2 pt"/>
    <w:basedOn w:val="CharStyle9"/>
    <w:rPr>
      <w:lang w:val="ru-RU" w:eastAsia="ru-RU" w:bidi="ru-RU"/>
      <w:w w:val="100"/>
      <w:spacing w:val="40"/>
      <w:color w:val="000000"/>
      <w:position w:val="0"/>
    </w:rPr>
  </w:style>
  <w:style w:type="character" w:customStyle="1" w:styleId="CharStyle31">
    <w:name w:val="Основной текст"/>
    <w:basedOn w:val="CharStyle9"/>
    <w:rPr>
      <w:lang w:val="ru-RU" w:eastAsia="ru-RU" w:bidi="ru-RU"/>
      <w:w w:val="100"/>
      <w:spacing w:val="0"/>
      <w:color w:val="000000"/>
      <w:position w:val="0"/>
    </w:rPr>
  </w:style>
  <w:style w:type="character" w:customStyle="1" w:styleId="CharStyle33">
    <w:name w:val="Основной текст (7)_"/>
    <w:basedOn w:val="DefaultParagraphFont"/>
    <w:link w:val="Style32"/>
    <w:rPr>
      <w:b/>
      <w:bCs/>
      <w:i w:val="0"/>
      <w:iCs w:val="0"/>
      <w:u w:val="none"/>
      <w:strike w:val="0"/>
      <w:smallCaps w:val="0"/>
      <w:sz w:val="17"/>
      <w:szCs w:val="17"/>
      <w:rFonts w:ascii="Times New Roman" w:eastAsia="Times New Roman" w:hAnsi="Times New Roman" w:cs="Times New Roman"/>
    </w:rPr>
  </w:style>
  <w:style w:type="character" w:customStyle="1" w:styleId="CharStyle34">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35">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36">
    <w:name w:val="Основной текст"/>
    <w:basedOn w:val="CharStyle9"/>
    <w:rPr>
      <w:lang w:val="ru-RU" w:eastAsia="ru-RU" w:bidi="ru-RU"/>
      <w:w w:val="100"/>
      <w:spacing w:val="0"/>
      <w:color w:val="000000"/>
      <w:position w:val="0"/>
    </w:rPr>
  </w:style>
  <w:style w:type="character" w:customStyle="1" w:styleId="CharStyle37">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3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35"/>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0" w:lineRule="exact"/>
    </w:pPr>
    <w:rPr>
      <w:b/>
      <w:bCs/>
      <w:i w:val="0"/>
      <w:iCs w:val="0"/>
      <w:u w:val="none"/>
      <w:strike w:val="0"/>
      <w:smallCaps w:val="0"/>
      <w:sz w:val="17"/>
      <w:szCs w:val="17"/>
      <w:rFonts w:ascii="Times New Roman" w:eastAsia="Times New Roman" w:hAnsi="Times New Roman" w:cs="Times New Roman"/>
      <w:spacing w:val="-3"/>
    </w:rPr>
  </w:style>
  <w:style w:type="paragraph" w:customStyle="1" w:styleId="Style21">
    <w:name w:val="Подпись к таблице"/>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before="180" w:line="211" w:lineRule="exact"/>
    </w:pPr>
    <w:rPr>
      <w:b/>
      <w:bCs/>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