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16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0" w:line="240" w:lineRule="exact"/>
        <w:ind w:left="4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89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Федеральном антимонопольной службы по Волгоградской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335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Гклрлсйския. д. 12, Волгоград, 400005 'гсд.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(S442)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24-22-65. факс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(S442)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e-mail: toMfefas.yov.ru</w:t>
      </w:r>
    </w:p>
    <w:p>
      <w:pPr>
        <w:pStyle w:val="Style11"/>
        <w:widowControl w:val="0"/>
        <w:keepNext/>
        <w:keepLines/>
        <w:shd w:val="clear" w:color="auto" w:fill="auto"/>
        <w:bidi w:val="0"/>
        <w:spacing w:before="0" w:after="143" w:line="240" w:lineRule="exact"/>
        <w:ind w:left="40" w:right="0" w:firstLine="0"/>
      </w:pPr>
      <w:bookmarkStart w:id="1" w:name="bookmark1"/>
      <w:r>
        <w:rPr>
          <w:rStyle w:val="CharStyle13"/>
          <w:i/>
          <w:iCs/>
        </w:rPr>
        <w:t>Q£Off.2D-r¥</w:t>
      </w:r>
      <w:r>
        <w:rPr>
          <w:rStyle w:val="CharStyle14"/>
          <w:lang w:val="en-US" w:eastAsia="en-US" w:bidi="en-US"/>
          <w:i w:val="0"/>
          <w:iCs w:val="0"/>
        </w:rPr>
        <w:t xml:space="preserve"> </w:t>
      </w:r>
      <w:r>
        <w:rPr>
          <w:rStyle w:val="CharStyle14"/>
          <w:i w:val="0"/>
          <w:iCs w:val="0"/>
        </w:rPr>
        <w:t xml:space="preserve">№ </w:t>
      </w:r>
      <w:r>
        <w:rPr>
          <w:rStyle w:val="CharStyle15"/>
          <w:i/>
          <w:iCs/>
        </w:rPr>
        <w:t>ОЯ-л/жЯ?</w:t>
      </w:r>
      <w:bookmarkEnd w:id="1"/>
    </w:p>
    <w:p>
      <w:pPr>
        <w:pStyle w:val="Style16"/>
        <w:tabs>
          <w:tab w:leader="none" w:pos="2045" w:val="center"/>
        </w:tabs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>JVc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«Блоссом»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Б. Черкизовская, д. 20, стр. 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Москва, 107553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0" w:line="299" w:lineRule="exact"/>
        <w:ind w:left="20" w:right="0" w:firstLine="0"/>
      </w:pPr>
      <w:r>
        <w:fldChar w:fldCharType="begin"/>
      </w:r>
      <w:r>
        <w:rPr>
          <w:color w:val="000000"/>
        </w:rPr>
        <w:instrText> HYPERLINK "mailto:blossom@bIossom.ru"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blossom@bIossom.ru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48" w:left="780" w:right="1154" w:bottom="848" w:header="0" w:footer="3" w:gutter="0"/>
          <w:rtlGutter w:val="0"/>
          <w:cols w:num="2" w:space="1707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Государственное учреждение - управление пенсионного фонда Российской Федерации в г. Волжском Волгоградской области ул. Молодежная, д .12, г. Волжский, Волгоградская обл., 404111 </w:t>
      </w:r>
      <w:r>
        <w:fldChar w:fldCharType="begin"/>
      </w:r>
      <w:r>
        <w:rPr>
          <w:color w:val="000000"/>
        </w:rPr>
        <w:instrText> HYPERLINK "mailto:zakaz34@044.pfr.ru"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zakaz34@044.pfr.ru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4" w:after="6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5460" w:right="10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ГУП «Агентство по государственному заказу, инвестиционной деятельности, межрегиональным связям Республики Татарстан» ул. Московская, 55, г. Казань, 420021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086" w:line="295" w:lineRule="exact"/>
        <w:ind w:left="5460" w:right="0" w:firstLine="0"/>
      </w:pPr>
      <w:r>
        <w:fldChar w:fldCharType="begin"/>
      </w:r>
      <w:r>
        <w:rPr>
          <w:color w:val="000000"/>
        </w:rPr>
        <w:instrText> HYPERLINK "mailto:agzrt@tatar.ru"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agzrt@tatar.ru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78" w:line="288" w:lineRule="exact"/>
        <w:ind w:left="3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17-02/04-363 о нарушении законодательства о контрактной системе</w:t>
      </w:r>
    </w:p>
    <w:p>
      <w:pPr>
        <w:pStyle w:val="Style3"/>
        <w:tabs>
          <w:tab w:leader="none" w:pos="957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57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31 августа 2017 года</w:t>
        <w:tab/>
        <w:t>г. Волгоград</w:t>
      </w:r>
    </w:p>
    <w:p>
      <w:pPr>
        <w:pStyle w:val="Style3"/>
        <w:tabs>
          <w:tab w:leader="none" w:pos="957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</w:t>
        <w:tab/>
        <w:t>Федеральной антимонопольной службы по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0" w:right="3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0" w:right="3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Литвинова Р.А. - председателя Комиссии,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0" w:right="3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Субботина А.А. - члена Комиссии, старшего государственного инспектора отдела контроля государственных и муниципальных закупок, недобросовестной конкуренции и рекламы;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11" w:line="299" w:lineRule="exact"/>
        <w:ind w:left="0" w:right="3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Берендеева И.Ю. - члена Комиссии, главного специалиста-эксперта отдела контроля государственных и муниципальных закупок, недобросовестной конкуренции и рекламы, с участием:</w:t>
      </w:r>
    </w:p>
    <w:p>
      <w:pPr>
        <w:pStyle w:val="Style18"/>
        <w:widowControl w:val="0"/>
        <w:keepNext/>
        <w:keepLines/>
        <w:shd w:val="clear" w:color="auto" w:fill="auto"/>
        <w:bidi w:val="0"/>
        <w:spacing w:before="0" w:after="0" w:line="360" w:lineRule="exact"/>
        <w:ind w:left="0" w:right="30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003625</w:t>
      </w:r>
      <w:bookmarkEnd w:id="2"/>
    </w:p>
    <w:p>
      <w:pPr>
        <w:pStyle w:val="Style3"/>
        <w:tabs>
          <w:tab w:leader="none" w:pos="4963" w:val="left"/>
          <w:tab w:leader="none" w:pos="5435" w:val="left"/>
          <w:tab w:leader="none" w:pos="7116" w:val="right"/>
          <w:tab w:leader="none" w:pos="8026" w:val="center"/>
          <w:tab w:leader="none" w:pos="960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Петрашева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A.FL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представителя</w:t>
        <w:tab/>
        <w:t>ГУ</w:t>
        <w:tab/>
        <w:t>-</w:t>
        <w:tab/>
        <w:t>управление</w:t>
        <w:tab/>
        <w:t>пенсионного</w:t>
        <w:tab/>
        <w:t>фонда</w:t>
      </w:r>
    </w:p>
    <w:p>
      <w:pPr>
        <w:pStyle w:val="Style3"/>
        <w:tabs>
          <w:tab w:leader="none" w:pos="3002" w:val="left"/>
          <w:tab w:leader="none" w:pos="6780" w:val="right"/>
          <w:tab w:leader="none" w:pos="8348" w:val="right"/>
          <w:tab w:leader="none" w:pos="960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Российской Федерации</w:t>
        <w:tab/>
        <w:t>в г.</w:t>
        <w:tab/>
        <w:t>Волжском Волгоградской</w:t>
        <w:tab/>
        <w:t>области на</w:t>
        <w:tab/>
        <w:t>основании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доверенности № 15830 от 30.08.2017;</w:t>
      </w:r>
    </w:p>
    <w:p>
      <w:pPr>
        <w:pStyle w:val="Style3"/>
        <w:tabs>
          <w:tab w:leader="none" w:pos="4963" w:val="left"/>
          <w:tab w:leader="none" w:pos="5355" w:val="left"/>
          <w:tab w:leader="none" w:pos="7116" w:val="right"/>
          <w:tab w:leader="none" w:pos="8026" w:val="center"/>
          <w:tab w:leader="none" w:pos="960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Дьяковой С.Г. - представителя</w:t>
        <w:tab/>
        <w:t>ГУ</w:t>
        <w:tab/>
        <w:t>-</w:t>
        <w:tab/>
        <w:t>управление</w:t>
        <w:tab/>
        <w:t>пенсионного</w:t>
        <w:tab/>
        <w:t>фонда</w:t>
      </w:r>
    </w:p>
    <w:p>
      <w:pPr>
        <w:pStyle w:val="Style3"/>
        <w:tabs>
          <w:tab w:leader="none" w:pos="3002" w:val="left"/>
          <w:tab w:leader="none" w:pos="6780" w:val="right"/>
          <w:tab w:leader="none" w:pos="9601" w:val="right"/>
          <w:tab w:leader="none" w:pos="959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Российской Федерации</w:t>
        <w:tab/>
        <w:t>в г.</w:t>
        <w:tab/>
        <w:t>Волжском Волгоградской</w:t>
        <w:tab/>
        <w:t>области на</w:t>
        <w:tab/>
        <w:t>основании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доверенности № 12071 от 03.07.2017;</w:t>
      </w:r>
    </w:p>
    <w:p>
      <w:pPr>
        <w:pStyle w:val="Style3"/>
        <w:tabs>
          <w:tab w:leader="none" w:pos="4963" w:val="left"/>
          <w:tab w:leader="none" w:pos="5403" w:val="left"/>
          <w:tab w:leader="none" w:pos="8026" w:val="center"/>
          <w:tab w:leader="none" w:pos="8023" w:val="center"/>
          <w:tab w:leader="none" w:pos="960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Ткаченко Ю .Н. - представителя</w:t>
        <w:tab/>
        <w:t>ГУ</w:t>
        <w:tab/>
        <w:t>-</w:t>
        <w:tab/>
        <w:t>управление</w:t>
        <w:tab/>
        <w:t>пенсионного</w:t>
        <w:tab/>
        <w:t>фонда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Российской Федерации в г. Волжском Волгоградской области (далее - Заказчик) на основании доверенности № 5025 от 23.03.2017,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«Блоссом» вх. № 8081 на действия заказчика при проведении аукциона в электронной форме «Приобретение расходных материалов для принтеров» (номер извещения 0229100003317000010)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2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3"/>
        <w:tabs>
          <w:tab w:leader="none" w:pos="3002" w:val="left"/>
          <w:tab w:leader="none" w:pos="834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</w:t>
        <w:tab/>
        <w:t>Федеральной антимонопольной</w:t>
        <w:tab/>
        <w:t>службы России по</w:t>
      </w:r>
    </w:p>
    <w:p>
      <w:pPr>
        <w:pStyle w:val="Style3"/>
        <w:tabs>
          <w:tab w:leader="none" w:pos="3002" w:val="left"/>
          <w:tab w:leader="none" w:pos="6780" w:val="right"/>
          <w:tab w:leader="none" w:pos="960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Волгоградской области</w:t>
        <w:tab/>
        <w:t>(далее</w:t>
        <w:tab/>
        <w:t>- Управление) поступила жалоба ООО</w:t>
        <w:tab/>
        <w:t>«Блоссом»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Заявитель) вх. № 8081 на действия заказчика при проведении аукциона в электронной форме «Приобретение расходных материалов для принтеров» (номер извещения 0229100003317000010).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доводу жалобы Заказчик отказался внести изменения в аукционную документацию после поступившего от Заявителя запроса разъяснений, в котором было указано на неправомерность использования, при проведении данной закупки, приказа Минэкономразвития России от 25.03.2014 № 155 «Об условиях допуска товаров, происходящих из иностранных государств, для целей осуществления закупок товаров, работ, услуг для обеспечения государственных и муниципальных нужд» (далее - Приказ № 155).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против заявленных требований возражал, в удовлетворении жалобы просил отказать.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Выслушав доводы сторон, ознакомившись с представленными документами и проведя внеплановую проверку в соответствии с ч. 15 ст. 99 Закона о контрактной системе, Комиссия Управления пришла к следующим выводам.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16.08.2017 г. были опубликованы извещение и документация о проведении аукциона в электронной форме «Приобретение расходных материалов для принтеров» (номер извещения 0229100003317000010). Начальная (максимальная) цена контракта 285 350,00 российских рублей.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тексту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7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жалобы Заявитель ссылается на письмо Минэкономразвития от 21 ноября 2016 г.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ОГ-Д28-13219, согласно которому в Общероссийском классификаторе продукции по видам экономической деятельности ОК 034-2014 (ОКПД2) картриджи для принтеров и многофункциональных устройств относятся к коду 28.23.25 «Части и принадлежности прочих офисных машин», картриджи для копировально-множительных аппаратов относятся к коду 28.23.26 «Части и принадлежности фотокопировальных аппаратов». Таким образом, по мнению заявителя, при закупке картриджей для принтеров положения Приказа № 155 не применяются.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Заказчик, в обоснование своей позиции, ссылается на письмо Минэкономразвития от 13 января 2017 г. № Д28и-1339 в котором разъяснено, что комплектующие и запасные части для вычислительных машин, </w:t>
      </w:r>
      <w:r>
        <w:rPr>
          <w:rStyle w:val="CharStyle20"/>
        </w:rPr>
        <w:t xml:space="preserve">в том числе картриджи для принтеров,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относятся к коду 26.20.40.190 (ОКПД2) ОК 034-2014.</w:t>
      </w:r>
    </w:p>
    <w:p>
      <w:pPr>
        <w:pStyle w:val="Style3"/>
        <w:tabs>
          <w:tab w:leader="none" w:pos="8037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Соответственно указание в аукционной документации по данной закупке кода 26.20.40.190 ОКПД2 и применение положений Приказа №</w:t>
        <w:tab/>
        <w:t>155 является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правомерным.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анализа общероссийского классификатора продукции по видам экономической деятельности ОК 034-2014 (КПЕС 2008).</w:t>
      </w:r>
    </w:p>
    <w:p>
      <w:pPr>
        <w:pStyle w:val="Style3"/>
        <w:tabs>
          <w:tab w:leader="none" w:pos="959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1.21 Документации установлен код ОКПД2:</w:t>
        <w:tab/>
        <w:t>26.20.40.190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«Комплектующие и запасные части для вычислительных машин прочие, не включенные в другие группировки».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"ОК 034-2014 (КПЕС 2008) Общероссийскому классификатору продукции по видам экономической деятельности" (утв. Приказом Роестандарта от 31.01.2014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14-ст) (ред. от 07.10.2016) принтеры и многофункциональные устройства относятся: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 классу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26 - Оборудование компьютерное, электронное и оптическое Подклассу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26.2 - Компьютеры и периферийное оборудование Группа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26.20 ~ Компьютеры и периферийное оборудование Подгруппа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26.20.16 - Устройства ввода или вывода, содержащие или не содержащие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одном корпусе запоминающие устройства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Категория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26.20.16.120 - Принтеры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Следующей подгруппой в этом разделе идет блок кодов по запасным частям, комплектующим и принадлежностям относимых ко всей группе 26.20 «Компьютеры и периферийное оборудование»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Подгруппа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26.20.40 - Блоки, части и принадлежности вычислительных машин Группа 26.20 включает перечень подгрупп таких как: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-Компьютеры портативные.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-Терминалы кассовые, банкоматы.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-Машины вычислительные электронные цифровые,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-Устройства ввода или вывода.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-Мониторы и проекторы.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-Устройства периферийные с двумя или более функциями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Принадлежности к этим группам объединены в один блок с кодом 26.20.40. в который входят: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-Устройства к блоки питания вычислительных машин (26.20.40.110) которые относятся к виду - 26.20.13 «Машины вычислительные электронные цифровые» -Элементы замены типовые устройств ввода и вывода (26.20.40.120) которые относятся к виду -26.20.16 «Устройства ввода или вывода».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18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Средства защиты информации, а также информационные и телекоммуникационные системы, защищенные с использованием средств защиты информации (26.20.40.140).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Соответственно в подкатегорию (26.20.40.190) включены все остальные комплектующие и запасные части, относящиеся к общей группе 26.2.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«ОК 034-2014 (КПЕС 2008). Общероссийский классификатор продукции по видам экономической деятельности» (утв. Приказом Росстандарта от 31.01.2014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14-ст) (ред. от 07.10.2016) указано: «Учитывая, что КПЕС 2008 гармонизирован со Статистической классификацией видов экономической деятельности в Европейском экономическом сообществе (КДЕС Ред. 2). Общероссийский классификатор видов экономической деятельности ОКВЭД 2 построен на основе гармонизации с КДЕС Ред. 2. а ОКПД 2 построен на основе гармонизации с КПЕС 2008. как правило, устанавливается соответствие для первых четырех знаков кодов между видом деятельности в ОКВЭД 2 и результатом этого вида деятельности в виде продукции (услуги, работы) в ОКПД 2.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Это означает, что предусмотрено соответствие между видом деятельности а теми товарами, которые производятся этим видом деятельности.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Обращаясь к "ОК 029-20 Г4 (КДЕС Ред. 2). Общероссийский классификатор видов экономической деятельности" (утв. Приказом Росстандарта от 31.01.2014 № 14-ст) устанавливаем следующее: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720" w:right="5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Группа 26.20 - Производство компьютеров и периферийного оборудования Эта группировка включает: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-полный цикл производства и/или сборку компьютеров, таких как персональные компьютеры, ноутбуки и серверы, а также периферийного оборудования для компьютеров, например, устройств храпения данных и устройств ввода/вывода (принтеров, мониторов, клавиатур). Компьютеры могут быть аналоговые, цифровые или гибридные. Цифровые компьютеры, являющиеся наиболее распространенным типом этих устройств, позволяющие хранить и обрабатывать большие объемы данных, представленных в цифровой форме. Аналоговые компьютеры, предназначенные для реализации математических моделей объектов с представлением их в аналоговой форме Эта группировка включает: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1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производство персональных компьютеров: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1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производство ноутбуков: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1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производство серверов;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1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-производство портативных (например, планшетных компьютеров, карманных компьютеров, смартфонов (устройств, совмещающих функции карманного компьютера и мобильного телефонного аппарата), электронных записных книжек и аналогичной компьютерной техники;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1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производство магнитных дисков, флэш-дисков и прочих устройств хранения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1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данных;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1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-производство оптических дисков (например,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CD-RW. CD-ROM. DVD-ROM, DVD-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18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RW);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18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производство принтеров;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18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производство мониторов: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1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производство клавиатур;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1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производство всех видов мышей, джойстиков, трекболов и прочих аксессуаров;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1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производство специальных компьютерных терминалов;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1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производство компьютерных серверов;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1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производство сканирующих устройств, включая сканеры для штрих-кодов;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1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производство смарт-карт;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1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производство шлемов виртуальной реальности;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1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производство компьютерных проекторов (видеолучей)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Эта группировка также включает: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производство компьютерных терминалов, таких как банкоматы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(ATM),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кассовые терминалы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(POS),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 прочих немеханических терминалов;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производство программно-аппаратных комплексов, автоматизированных систем, высокопроизводительных электронно-вычислительных машин и их составных частей, предназначенных для научных исследований в сфере ядерных оружейных технологий;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производство мультифункционального офисного оборудования, которое выполняет две или более функций: печать, сканирование, копирование, передачу по факсимильной связи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следует вывод, что ОКВЭД в эту группу включает как основные устройства, так и расходные материалы, запасные части, комплектующие, принадлежности.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Сопоставив коды ОКВЭД и ОКПД можно сделать вывод о том, что Заказчик имел право использовать </w:t>
      </w:r>
      <w:r>
        <w:rPr>
          <w:rStyle w:val="CharStyle21"/>
        </w:rPr>
        <w:t>код ОКПД 2— 26.20.40.190 д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ля данной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 Комиссии отсутствуют однозначные доказательства, подтверждающие неправомерность отнесения данной закупки к коду, указанному Заказчиком, в связи с чем отсутствуют основания для признания жалобы ООО «Блоссом» (далее ~ Заявитель) вх. № 8081 на действия заказчика при проведении аукциона в электронной форме «Приобретение расходных материалов для принтеров» (номер извещения 0229100003317000010) обоснованной.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Исходя из протокола рассмотрения первых частей Заявок № 1 от 28.08.2017, а также из предложений заявок участников следует, что в составе одной из заявок предлагаются к поставке картриджи фирмы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«Blossom»,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которая была отклонена аукционной комиссией.</w:t>
      </w:r>
    </w:p>
    <w:p>
      <w:pPr>
        <w:pStyle w:val="Style3"/>
        <w:tabs>
          <w:tab w:leader="none" w:pos="328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 Заявителем не представлено доказательств того, каким образом применение Приказа №</w:t>
        <w:tab/>
        <w:t>155 Заказчиком влияет на результат определения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поставщика.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результатам внеплановой проверки Комиссия не выявила нарушений законодательства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Руководствуясь главой 6 Федерального закона от 05,04.2013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581" w:line="29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«Блоссом» (далее - Заявитель) вх. № 8081 на действия заказчика при проведении аукциона в электронной форме «Приобретение расходных материалов для принтеров» (номер извещения 0229100003317000010) необоснованной.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4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995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27" w:lineRule="exact"/>
        <w:ind w:left="200" w:right="8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Берендеев И.Ю. </w:t>
      </w:r>
      <w:r>
        <w:rPr>
          <w:rStyle w:val="CharStyle22"/>
        </w:rPr>
        <w:t>(</w:t>
      </w:r>
      <w:r>
        <w:rPr>
          <w:rStyle w:val="CharStyle23"/>
        </w:rPr>
        <w:t>8442)24</w:t>
      </w:r>
      <w:r>
        <w:rPr>
          <w:rStyle w:val="CharStyle22"/>
        </w:rPr>
        <w:t xml:space="preserve"> </w:t>
      </w:r>
      <w:r>
        <w:rPr>
          <w:rStyle w:val="CharStyle23"/>
        </w:rPr>
        <w:t>22</w:t>
      </w:r>
      <w:r>
        <w:rPr>
          <w:rStyle w:val="CharStyle22"/>
        </w:rPr>
        <w:t xml:space="preserve"> </w:t>
      </w:r>
      <w:r>
        <w:rPr>
          <w:rStyle w:val="CharStyle23"/>
        </w:rPr>
        <w:t>64</w:t>
      </w:r>
    </w:p>
    <w:sectPr>
      <w:type w:val="continuous"/>
      <w:pgSz w:w="11906" w:h="16838"/>
      <w:pgMar w:top="1410" w:left="778" w:right="778" w:bottom="1007" w:header="0" w:footer="3" w:gutter="439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Заголовок №3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2">
    <w:name w:val="Заголовок №2_"/>
    <w:basedOn w:val="DefaultParagraphFont"/>
    <w:link w:val="Style11"/>
    <w:rPr>
      <w:lang w:val="en-US" w:eastAsia="en-US" w:bidi="en-US"/>
      <w:b w:val="0"/>
      <w:bCs w:val="0"/>
      <w:i/>
      <w:iCs/>
      <w:u w:val="none"/>
      <w:strike w:val="0"/>
      <w:smallCaps w:val="0"/>
      <w:sz w:val="12"/>
      <w:szCs w:val="12"/>
      <w:rFonts w:ascii="Impact" w:eastAsia="Impact" w:hAnsi="Impact" w:cs="Impact"/>
    </w:rPr>
  </w:style>
  <w:style w:type="character" w:customStyle="1" w:styleId="CharStyle13">
    <w:name w:val="Заголовок №2"/>
    <w:basedOn w:val="CharStyle12"/>
    <w:rPr>
      <w:u w:val="single"/>
      <w:w w:val="100"/>
      <w:spacing w:val="0"/>
      <w:color w:val="000000"/>
      <w:position w:val="0"/>
    </w:rPr>
  </w:style>
  <w:style w:type="character" w:customStyle="1" w:styleId="CharStyle14">
    <w:name w:val="Заголовок №2 + Candara,12 pt,Не курсив"/>
    <w:basedOn w:val="CharStyle12"/>
    <w:rPr>
      <w:lang w:val="ru-RU" w:eastAsia="ru-RU" w:bidi="ru-RU"/>
      <w:i/>
      <w:iCs/>
      <w:sz w:val="24"/>
      <w:szCs w:val="24"/>
      <w:rFonts w:ascii="Candara" w:eastAsia="Candara" w:hAnsi="Candara" w:cs="Candara"/>
      <w:w w:val="100"/>
      <w:spacing w:val="0"/>
      <w:color w:val="000000"/>
      <w:position w:val="0"/>
    </w:rPr>
  </w:style>
  <w:style w:type="character" w:customStyle="1" w:styleId="CharStyle15">
    <w:name w:val="Заголовок №2 + Интервал -1 pt"/>
    <w:basedOn w:val="CharStyle12"/>
    <w:rPr>
      <w:lang w:val="ru-RU" w:eastAsia="ru-RU" w:bidi="ru-RU"/>
      <w:u w:val="single"/>
      <w:w w:val="100"/>
      <w:spacing w:val="-20"/>
      <w:color w:val="000000"/>
      <w:position w:val="0"/>
    </w:rPr>
  </w:style>
  <w:style w:type="character" w:customStyle="1" w:styleId="CharStyle17">
    <w:name w:val="Основной текст (4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9">
    <w:name w:val="Заголовок №1_"/>
    <w:basedOn w:val="DefaultParagraphFont"/>
    <w:link w:val="Style18"/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</w:rPr>
  </w:style>
  <w:style w:type="character" w:customStyle="1" w:styleId="CharStyle20">
    <w:name w:val="Основной текст + Полужирный"/>
    <w:basedOn w:val="CharStyle4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1">
    <w:name w:val="Основной текст"/>
    <w:basedOn w:val="CharStyle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2">
    <w:name w:val="Основной текст (4) + 9,5 pt,Полужирный"/>
    <w:basedOn w:val="CharStyle17"/>
    <w:rPr>
      <w:lang w:val="ru-RU" w:eastAsia="ru-RU" w:bidi="ru-RU"/>
      <w:b/>
      <w:bCs/>
      <w:sz w:val="19"/>
      <w:szCs w:val="19"/>
      <w:w w:val="100"/>
      <w:spacing w:val="0"/>
      <w:color w:val="000000"/>
      <w:position w:val="0"/>
    </w:rPr>
  </w:style>
  <w:style w:type="character" w:customStyle="1" w:styleId="CharStyle23">
    <w:name w:val="Основной текст (4) + 9,5 pt"/>
    <w:basedOn w:val="CharStyle17"/>
    <w:rPr>
      <w:lang w:val="ru-RU" w:eastAsia="ru-RU" w:bidi="ru-RU"/>
      <w:sz w:val="19"/>
      <w:szCs w:val="19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180" w:line="284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Заголовок №3"/>
    <w:basedOn w:val="Normal"/>
    <w:link w:val="CharStyle6"/>
    <w:pPr>
      <w:widowControl w:val="0"/>
      <w:shd w:val="clear" w:color="auto" w:fill="FFFFFF"/>
      <w:jc w:val="center"/>
      <w:outlineLvl w:val="2"/>
      <w:spacing w:before="180"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jc w:val="center"/>
      <w:spacing w:before="60" w:after="60" w:line="245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60" w:after="360" w:line="209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FFFFFF"/>
      <w:jc w:val="center"/>
      <w:outlineLvl w:val="1"/>
      <w:spacing w:before="360" w:after="18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12"/>
      <w:szCs w:val="12"/>
      <w:rFonts w:ascii="Impact" w:eastAsia="Impact" w:hAnsi="Impact" w:cs="Impact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FFFFFF"/>
      <w:jc w:val="right"/>
      <w:outlineLvl w:val="0"/>
      <w:spacing w:before="360" w:line="0" w:lineRule="exact"/>
    </w:pPr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