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1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84" w:line="338" w:lineRule="exact"/>
        <w:ind w:left="3960" w:right="3220" w:firstLine="0"/>
      </w:pPr>
      <w:r>
        <w:rPr>
          <w:lang w:val="ru-RU" w:eastAsia="ru-RU" w:bidi="ru-RU"/>
          <w:w w:val="100"/>
          <w:color w:val="000000"/>
          <w:position w:val="0"/>
        </w:rPr>
        <w:t>УПРАВЛЕНИЕ ио Саратовской области</w:t>
      </w:r>
    </w:p>
    <w:p>
      <w:pPr>
        <w:pStyle w:val="Style7"/>
        <w:tabs>
          <w:tab w:leader="none" w:pos="8911" w:val="right"/>
          <w:tab w:leader="none" w:pos="9725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410012,г. Саратов, ул. Вольская, 81</w:t>
        <w:tab/>
        <w:t>Тел.:(845-2)</w:t>
        <w:tab/>
        <w:t>27-96-42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77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Факс: (845-2) 27-93-14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to64@fas.gov.ru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6"/>
        <w:ind w:left="0" w:right="20" w:firstLine="0"/>
      </w:pPr>
      <w:r>
        <w:rPr>
          <w:rStyle w:val="CharStyle9"/>
          <w:b w:val="0"/>
          <w:bCs w:val="0"/>
        </w:rPr>
        <w:t xml:space="preserve">Р </w:t>
      </w:r>
      <w:r>
        <w:rPr>
          <w:lang w:val="ru-RU" w:eastAsia="ru-RU" w:bidi="ru-RU"/>
          <w:w w:val="100"/>
          <w:color w:val="000000"/>
          <w:position w:val="0"/>
        </w:rPr>
        <w:t xml:space="preserve">Е </w:t>
      </w:r>
      <w:r>
        <w:rPr>
          <w:lang w:val="en-US" w:eastAsia="en-US" w:bidi="en-US"/>
          <w:w w:val="100"/>
          <w:color w:val="000000"/>
          <w:position w:val="0"/>
        </w:rPr>
        <w:t xml:space="preserve">III </w:t>
      </w:r>
      <w:r>
        <w:rPr>
          <w:lang w:val="ru-RU" w:eastAsia="ru-RU" w:bidi="ru-RU"/>
          <w:w w:val="100"/>
          <w:color w:val="000000"/>
          <w:position w:val="0"/>
        </w:rPr>
        <w:t xml:space="preserve">Е II </w:t>
      </w:r>
      <w:r>
        <w:rPr>
          <w:rStyle w:val="CharStyle9"/>
          <w:b w:val="0"/>
          <w:bCs w:val="0"/>
        </w:rPr>
        <w:t xml:space="preserve">И </w:t>
      </w:r>
      <w:r>
        <w:rPr>
          <w:lang w:val="ru-RU" w:eastAsia="ru-RU" w:bidi="ru-RU"/>
          <w:w w:val="100"/>
          <w:color w:val="000000"/>
          <w:position w:val="0"/>
        </w:rPr>
        <w:t xml:space="preserve">Е </w:t>
      </w:r>
      <w:r>
        <w:rPr>
          <w:rStyle w:val="CharStyle9"/>
          <w:b w:val="0"/>
          <w:bCs w:val="0"/>
        </w:rPr>
        <w:t xml:space="preserve">№ 457-17/гз </w:t>
      </w:r>
      <w:r>
        <w:rPr>
          <w:lang w:val="ru-RU" w:eastAsia="ru-RU" w:bidi="ru-RU"/>
          <w:w w:val="100"/>
          <w:color w:val="000000"/>
          <w:position w:val="0"/>
        </w:rPr>
        <w:t>о признании жалобы обоснованной</w:t>
      </w:r>
    </w:p>
    <w:p>
      <w:pPr>
        <w:pStyle w:val="Style3"/>
        <w:tabs>
          <w:tab w:leader="none" w:pos="9725" w:val="right"/>
          <w:tab w:leader="none" w:pos="9741" w:val="right"/>
        </w:tabs>
        <w:widowControl w:val="0"/>
        <w:keepNext w:val="0"/>
        <w:keepLines w:val="0"/>
        <w:shd w:val="clear" w:color="auto" w:fill="auto"/>
        <w:bidi w:val="0"/>
        <w:spacing w:before="0" w:after="203" w:line="220" w:lineRule="exact"/>
        <w:ind w:left="6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ноября 2017 года</w:t>
        <w:tab/>
        <w:t>г.</w:t>
        <w:tab/>
        <w:t>Саратов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3"/>
        <w:numPr>
          <w:ilvl w:val="0"/>
          <w:numId w:val="1"/>
        </w:numPr>
        <w:tabs>
          <w:tab w:leader="none" w:pos="534" w:val="left"/>
          <w:tab w:leader="none" w:pos="9236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Кошманов П.Э.</w:t>
        <w:tab/>
        <w:t>- заместитель руководителя управления, председатель Комиссии;</w:t>
      </w:r>
    </w:p>
    <w:p>
      <w:pPr>
        <w:pStyle w:val="Style3"/>
        <w:numPr>
          <w:ilvl w:val="0"/>
          <w:numId w:val="1"/>
        </w:numPr>
        <w:tabs>
          <w:tab w:leader="none" w:pos="534" w:val="left"/>
          <w:tab w:leader="none" w:pos="2587" w:val="right"/>
          <w:tab w:leader="none" w:pos="9725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Трошин И.С.</w:t>
        <w:tab/>
        <w:t>-</w:t>
        <w:tab/>
        <w:t>старший государственный инспектор отдела контроля закупок;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Комиссии;</w:t>
      </w:r>
    </w:p>
    <w:p>
      <w:pPr>
        <w:pStyle w:val="Style3"/>
        <w:numPr>
          <w:ilvl w:val="0"/>
          <w:numId w:val="1"/>
        </w:numPr>
        <w:tabs>
          <w:tab w:leader="none" w:pos="534" w:val="left"/>
          <w:tab w:leader="none" w:pos="9236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Фурсаева М.С.</w:t>
        <w:tab/>
        <w:t>- специалист - эксперт отдела контроля закупок, член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«Мира» на действия Заказчика - ГУЗ СО «Красноармейская районная больница» при проведении электронного аукциона № 0360300136317000305 «Текущий ремонт Первомайской врачебной амбулатории ГУЗ СО «Красноармейская РБ»,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206" w:line="220" w:lineRule="exact"/>
        <w:ind w:left="434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УСТАНОВИЛА:</w:t>
      </w:r>
      <w:bookmarkEnd w:id="0"/>
    </w:p>
    <w:p>
      <w:pPr>
        <w:pStyle w:val="Style3"/>
        <w:tabs>
          <w:tab w:leader="none" w:pos="7361" w:val="right"/>
          <w:tab w:leader="none" w:pos="8207" w:val="center"/>
          <w:tab w:leader="none" w:pos="9725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Саратовское У ФАС России поступила жалоба ООО «Мира» (далее - Заявитель) на действия Заказчика - ГУЗ СО «Красноармейская районная больница» (далее - Заказчик) при проведении электронного аукциона №</w:t>
        <w:tab/>
        <w:t>0360300136317000305</w:t>
        <w:tab/>
        <w:t>«Текущий</w:t>
        <w:tab/>
        <w:t>ремонт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Первомайской врачебной амбулатории ГУЗ СО «Красноармейская РБ»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жалобы следует, что в пунктах 7. 13. 17, 22, 23, 24, 26, 50 документации об Аукционе установлены недействующие и несуществующие ГОСТы.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уведомлен надлежащим образом о месте и времени рассмотрения жалобы, не явился.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уведомлен надлежащим образом о месте и времени рассмотрения жалобы, не явился.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Саратовского УФАС России пришла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16.10.2017 в единой информационной системы в сфере закупок были размещены извещение о проведении Аукциона и документация об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2 999 724,00 рубля.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ч. 1 ст. 33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7 технического задания документации об Аукционе указано: Песок для строительных работ природный ГОСТ 8736-93.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8736-93 утратил силу с 1 апреля 2015 года в связи с изданием Приказа Росстандарта от 18.11.2014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1641-ст. Взамен введен в действие ГОСТ 8736-2014.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7 технического задания документации об Аукционе указано: Устройство напольного покрытий из плит керамогранитпых размером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40x40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см ГОСТ 6787-89.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размещенной в информационно-телекоммуникационной сети «Интернет» па официальном сайте Федерального агентства по техническому регулированию и метрологии Российской Федерации, ГОСТ 6787-89 не существует.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13 технического задания документации об Аукционе указано: Монтаж розеток скрытой проводки с заземлением, цвет белый ГОСТ 51322.1-99.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51322.1-99 утратил силу с 1 июля 2012 года в связи с изданием Приказа Росстандарта от 28.09.2011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381-ст. Взамен введен в действие ГОСТ Р 51322.1-2011.</w:t>
      </w:r>
    </w:p>
    <w:p>
      <w:pPr>
        <w:pStyle w:val="Style3"/>
        <w:tabs>
          <w:tab w:leader="none" w:pos="9732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17 технического задания документации об Аукционе указано:</w:t>
        <w:tab/>
        <w:t>Монтаж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светильников светодиодных с призматическим стеклом, габаритные размеры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600x600x85,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световой поток не менее 2600 лм в подвесных потолках устанавливаемых на профиле ГОСТ 54350-2011.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54350-2011 утратил силу с 1 января 2016 года в связи с изданием Приказа Росстандарта от 06.05.2015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348-ст. Взамен введен в действие ГОСТ Р 54350-2015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п.22 технического задания документации об Аукционе указано: Облицовка оконных откосов сендвич-паислями для откосов ( наружные слои- листы из поливинилхлорида, внутреннее наполнение - вспененный пеиополистирол): белые, толщина - 10 мм ГОСТ 30971-2002.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30971-2002 утратил силу с 1 января 2014 года в связи с изданием Приказа Росстандарта от 27.12.2012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1983-ст. Взамен введен в действие ГОСТ 30971-2012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п.23 технического задания документации об Аукционе указано: Установка блоков дверных входных однопольных с глухим полотном в каменных стенах ГОСТ 6629-88.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6629-88 утратил силу с 1 июля 2017 года в связи с изданием Приказа Росстандарта от 22.11.2016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1734-ст. Взамен введен в действие ГОСТ 475-2016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п.23 технического задания документации об Аукционе указано: Скобяные изделия для блоков входных одпопольпых дверей ГОСТ 538-2001.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538-2001 утратил силу с 1 июля 2015 года в связи с изданием Приказа Росстандарта от 18.11.2014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1646-ст. Взамен введен в действие ГОСТ 538-2014.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п.23 технического задания документации об Аукционе указано: Замки врезные оцинкованные с цилиндровым механизмом из латуни ГОСТ 5089-2003.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5089-2003 утратил силу с 1 января 2013 года в связи с изданием Приказа Росстандарта от 20.09.2012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394-ст. Взамен введен в действие ГОСТ 5089-2011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п.24 технического задания документации об Аукционе указано: Установка и крепление наличников из ПВХ, шириной 80 мм ГОСТ 30673-99.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30673-99 утратил силу с 1 мая 2015 в связи с изданием Приказа Росстандарта от 22.10.2014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1372-ст. Взамен введен в действие ГОСТ 30673-2013.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п.26 технического задания документации об Аукционе указано: Установка блока дверного стального наружного в готовый проём ГОСТ 31173-2003.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31173-2003 утратил силу с 1 июля 2017 года в связи с изданием Приказа Росстандарта от 22.11.2016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1739-ст. Взамен введен в действие ГОСТ 31173-2016.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п.50 технического задания документации об Аукционе указано: Монтаж балок, ригелей перекрытия ГОСТ 18980-90.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ГОСТ 18980-90 утратил силу с 1 января 2017 года в связи с изданием Приказа Росстандарта от 26.11.2015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1989-ст. Взамен введен в действие ГОСТ 18980-2015.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заказчик, указав в документации об Аукционе недействующие и несуществующие ГОСТы, допустил нарушение п. 2 ч. 1 ст. 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вышеизложенное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0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Е Ш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«Мира» на действия Заказчика - ГУЗ СО «Красноармейская районная больница» при проведении электронного аукциона № 0360300136317000305 «Текущий ремонт Первомайской врачебной амбулатории ГУЗ СО «Красноармейская РБ» обоснованной.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ГУЗ «Саратовская городская детская поликлиника №1» нарушение п. 2 ч. 1 ст. 33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Заказчику об устранении допущенных нарушений не выдавать, в связи с ранее выданным по жалобе ООО «АБС».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46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77" w:line="266" w:lineRule="exact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3"/>
        <w:framePr w:h="209" w:wrap="around" w:vAnchor="text" w:hAnchor="margin" w:x="6317" w:y="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П.Э.Кошманов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92" w:left="1076" w:right="1051" w:bottom="8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668" w:h="943" w:wrap="around" w:vAnchor="text" w:hAnchor="margin" w:x="5723" w:y="12"/>
        <w:widowControl w:val="0"/>
        <w:keepNext w:val="0"/>
        <w:keepLines w:val="0"/>
        <w:shd w:val="clear" w:color="auto" w:fill="auto"/>
        <w:bidi w:val="0"/>
        <w:jc w:val="left"/>
        <w:spacing w:before="0" w:after="492" w:line="210" w:lineRule="exact"/>
        <w:ind w:left="120" w:right="0" w:firstLine="0"/>
      </w:pPr>
      <w:r>
        <w:rPr>
          <w:rStyle w:val="CharStyle4"/>
          <w:spacing w:val="0"/>
        </w:rPr>
        <w:t>И.С. Трошин</w:t>
      </w:r>
    </w:p>
    <w:p>
      <w:pPr>
        <w:pStyle w:val="Style3"/>
        <w:framePr w:w="1668" w:h="943" w:wrap="around" w:vAnchor="text" w:hAnchor="margin" w:x="5723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4"/>
          <w:spacing w:val="0"/>
        </w:rPr>
        <w:t>М.С. Фурсаева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  <w:r>
        <w:br w:type="page"/>
      </w:r>
    </w:p>
    <w:sectPr>
      <w:type w:val="continuous"/>
      <w:pgSz w:w="11906" w:h="16838"/>
      <w:pgMar w:top="2637" w:left="1685" w:right="5209" w:bottom="260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Основной текст (2) + Не полужирный,Интервал 0 pt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0"/>
    <w:pPr>
      <w:widowControl w:val="0"/>
      <w:shd w:val="clear" w:color="auto" w:fill="FFFFFF"/>
      <w:jc w:val="both"/>
      <w:spacing w:before="240" w:after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240"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both"/>
      <w:spacing w:before="300" w:line="23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line="274" w:lineRule="exact"/>
      <w:ind w:firstLine="56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