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7055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21.10.2026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8691/26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70000000000002pt;z-index:-125829374;mso-wrap-distance-left:9.pt;mso-wrap-distance-top:56.399999999999999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21.10.2026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8691/26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3195" distR="2052955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3143250</wp:posOffset>
                </wp:positionV>
                <wp:extent cx="59436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5pt;width:46.800000000000004pt;height:17.300000000000001pt;z-index:-125829372;mso-wrap-distance-left:12.85pt;mso-wrap-distance-top:246.5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40"/>
        <w:jc w:val="both"/>
      </w:pPr>
      <w:bookmarkStart w:id="0" w:name="bookmark0"/>
      <w:r>
        <w:rPr>
          <w:rStyle w:val="CharStyle13"/>
          <w:b/>
          <w:bCs/>
        </w:rPr>
        <w:t>Общество с ограниченной ответственностью «Алпи-Фарм»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107370, г. Москвы, Открытое шоссе, д. 12, стр.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240" w:line="240" w:lineRule="auto"/>
        <w:ind w:left="740" w:right="0" w:firstLine="40"/>
        <w:jc w:val="left"/>
      </w:pPr>
      <w:r>
        <w:rPr>
          <w:rStyle w:val="CharStyle11"/>
        </w:rPr>
        <w:t xml:space="preserve">этаж 3, пом. </w:t>
      </w:r>
      <w:r>
        <w:rPr>
          <w:rStyle w:val="CharStyle11"/>
          <w:lang w:val="en-US" w:eastAsia="en-US"/>
        </w:rPr>
        <w:t xml:space="preserve">XIII., </w:t>
      </w:r>
      <w:r>
        <w:rPr>
          <w:rStyle w:val="CharStyle11"/>
        </w:rPr>
        <w:t xml:space="preserve">комн. 1 </w:t>
      </w:r>
      <w:r>
        <w:fldChar w:fldCharType="begin"/>
      </w:r>
      <w:r>
        <w:rPr/>
        <w:instrText> HYPERLINK "mailto:info@alpifarm.ru" </w:instrText>
      </w:r>
      <w:r>
        <w:fldChar w:fldCharType="separate"/>
      </w:r>
      <w:r>
        <w:rPr>
          <w:rStyle w:val="CharStyle11"/>
          <w:color w:val="000080"/>
          <w:u w:val="single"/>
          <w:lang w:val="en-US" w:eastAsia="en-US"/>
        </w:rPr>
        <w:t>info@alpifarm.ru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both"/>
      </w:pPr>
      <w:r>
        <w:rPr>
          <w:rStyle w:val="CharStyle11"/>
          <w:b/>
          <w:bCs/>
        </w:rPr>
        <w:t>Государственное бюджетное учреждение здравоохранения Пермского края «Пермский краевой клинический наркологический диспансер»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614000, Пермский край, г. Пермь,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1"/>
        </w:rPr>
        <w:t>Монастырская, 95Б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left"/>
      </w:pPr>
      <w:r>
        <w:fldChar w:fldCharType="begin"/>
      </w:r>
      <w:r>
        <w:rPr/>
        <w:instrText> HYPERLINK "mailto:info-pkknd@med.permkrai.ru" </w:instrText>
      </w:r>
      <w:r>
        <w:fldChar w:fldCharType="separate"/>
      </w:r>
      <w:r>
        <w:rPr>
          <w:rStyle w:val="CharStyle11"/>
          <w:color w:val="000080"/>
          <w:u w:val="single"/>
          <w:lang w:val="en-US" w:eastAsia="en-US"/>
        </w:rPr>
        <w:t>info-pkknd@med.permkrai.ru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both"/>
      </w:pPr>
      <w:r>
        <w:rPr>
          <w:rStyle w:val="CharStyle11"/>
          <w:b/>
          <w:bCs/>
        </w:rPr>
        <w:t>Комиссия по осуществлению закупок для нужд Государственного бюджетного учреждения здравоохранения Пермского края «Пермский краевой клинический наркологический диспансер»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40" w:right="0" w:firstLine="0"/>
        <w:jc w:val="both"/>
      </w:pPr>
      <w:r>
        <w:rPr>
          <w:rStyle w:val="CharStyle11"/>
        </w:rPr>
        <w:t>614000, Пермский край, г. Пермь,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40" w:right="0" w:firstLine="0"/>
        <w:jc w:val="left"/>
      </w:pPr>
      <w:r>
        <w:rPr>
          <w:rStyle w:val="CharStyle11"/>
        </w:rPr>
        <w:t>Монастырская, 95Б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140" w:right="0" w:firstLine="0"/>
        <w:jc w:val="left"/>
      </w:pPr>
      <w:r>
        <w:fldChar w:fldCharType="begin"/>
      </w:r>
      <w:r>
        <w:rPr/>
        <w:instrText> HYPERLINK "mailto:info-pkknd@med.permkrai.ru" </w:instrText>
      </w:r>
      <w:r>
        <w:fldChar w:fldCharType="separate"/>
      </w:r>
      <w:r>
        <w:rPr>
          <w:rStyle w:val="CharStyle11"/>
          <w:lang w:val="en-US" w:eastAsia="en-US"/>
        </w:rPr>
        <w:t>info-pkknd@med.permkrai.ru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140" w:right="0" w:firstLine="0"/>
        <w:jc w:val="left"/>
      </w:pPr>
      <w:bookmarkStart w:id="2" w:name="bookmark2"/>
      <w:r>
        <w:rPr>
          <w:rStyle w:val="CharStyle13"/>
          <w:b/>
          <w:bCs/>
        </w:rPr>
        <w:t>АО «Сбербанк-АСТ»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14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color w:val="000080"/>
          <w:u w:val="single"/>
          <w:lang w:val="en-US" w:eastAsia="en-US"/>
        </w:rPr>
        <w:t>ko@sberbank-ast.ru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3140" w:right="0" w:firstLine="0"/>
        <w:jc w:val="left"/>
      </w:pPr>
      <w:bookmarkStart w:id="4" w:name="bookmark4"/>
      <w:r>
        <w:rPr>
          <w:rStyle w:val="CharStyle13"/>
          <w:b/>
          <w:bCs/>
        </w:rPr>
        <w:t>РЕШЕНИЕ по делу № 059/06/105-1158/2026</w:t>
      </w:r>
      <w:bookmarkEnd w:id="4"/>
    </w:p>
    <w:p>
      <w:pPr>
        <w:pStyle w:val="Style12"/>
        <w:keepNext/>
        <w:keepLines/>
        <w:widowControl w:val="0"/>
        <w:shd w:val="clear" w:color="auto" w:fill="auto"/>
        <w:tabs>
          <w:tab w:pos="9259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  <w:b/>
          <w:bCs/>
        </w:rPr>
        <w:t>16.10.2026 г.</w:t>
        <w:tab/>
        <w:t>г. Пермь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1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both"/>
      </w:pPr>
      <w:r>
        <w:rPr>
          <w:rStyle w:val="CharStyle11"/>
        </w:rPr>
        <w:t>Председатель Комиссии – Субботина Е.С. начальник отдела контроля закупок, 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1"/>
        </w:rPr>
        <w:t>Мальцев С.А.,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1"/>
        </w:rPr>
        <w:t>Чудинов А.М.,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1"/>
        </w:rPr>
        <w:t>в отсутствие представителей сторон (извещены надлежащим образом посредством функционала ЕИС в сфере закупок в порядке, предусмотренном п. 1 ч. 8 ст. 105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закупках),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80"/>
        <w:jc w:val="both"/>
      </w:pPr>
      <w:r>
        <w:rPr>
          <w:rStyle w:val="CharStyle11"/>
        </w:rPr>
        <w:t>рассмотрев жалобу ООО «Алпи-Фарм» (далее – Заявитель) на действия комиссии по осуществлению закупок для нужд Государственного бюджетного учреждения здравоохранения Пермского края «Пермский краевой клинический наркологический диспансер» (далее – Комиссия по осуществлению закупок) при проведении открытого аукциона в электронной форме на поставку лекарственного препарата (карбамазепин) (изв. № 0356200013326000122),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580" w:right="0" w:firstLine="0"/>
        <w:jc w:val="left"/>
      </w:pPr>
      <w:r>
        <w:rPr>
          <w:rStyle w:val="CharStyle11"/>
          <w:b/>
          <w:bCs/>
        </w:rPr>
        <w:t>УСТАНОВИЛА: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17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7" w:name="bookmark7"/>
      <w:r>
        <w:rPr>
          <w:rStyle w:val="CharStyle20"/>
        </w:rPr>
        <w:t>1IIIIIIIIIIIIIIIIIIIIIII</w:t>
      </w:r>
      <w:bookmarkEnd w:id="7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Заявитель полагает, что нормы Закона о закупках, нарушены действиями Комиссии по осуществлению закупок. Уведомлением Пермского УФАС России рассмотрение жалобы было назначено на </w:t>
      </w:r>
      <w:r>
        <w:rPr>
          <w:rStyle w:val="CharStyle11"/>
          <w:lang w:val="en-US" w:eastAsia="en-US"/>
        </w:rPr>
        <w:t xml:space="preserve">15.10.2026 </w:t>
      </w:r>
      <w:r>
        <w:rPr>
          <w:rStyle w:val="CharStyle11"/>
        </w:rPr>
        <w:t xml:space="preserve">г. в </w:t>
      </w:r>
      <w:r>
        <w:rPr>
          <w:rStyle w:val="CharStyle11"/>
          <w:lang w:val="en-US" w:eastAsia="en-US"/>
        </w:rPr>
        <w:t xml:space="preserve">14:00 </w:t>
      </w:r>
      <w:r>
        <w:rPr>
          <w:rStyle w:val="CharStyle11"/>
        </w:rPr>
        <w:t xml:space="preserve">ч. В ходе заседания Комиссии объявлен перерыв до </w:t>
      </w:r>
      <w:r>
        <w:rPr>
          <w:rStyle w:val="CharStyle11"/>
          <w:lang w:val="en-US" w:eastAsia="en-US"/>
        </w:rPr>
        <w:t xml:space="preserve">16.10.2026 </w:t>
      </w:r>
      <w:r>
        <w:rPr>
          <w:rStyle w:val="CharStyle11"/>
        </w:rPr>
        <w:t>г. с целью изучения документов, анализа материалов жалобы и принятия решения.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b/>
          <w:bCs/>
        </w:rPr>
        <w:t xml:space="preserve">В ходе рассмотрения жалобы и в ходе проведения внеплановой проверки осуществленной Комиссией Пермского УФАС России в соответствии с ч. </w:t>
      </w:r>
      <w:r>
        <w:rPr>
          <w:rStyle w:val="CharStyle11"/>
          <w:b/>
          <w:bCs/>
          <w:lang w:val="en-US" w:eastAsia="en-US"/>
        </w:rPr>
        <w:t xml:space="preserve">3 </w:t>
      </w:r>
      <w:r>
        <w:rPr>
          <w:rStyle w:val="CharStyle11"/>
          <w:b/>
          <w:bCs/>
        </w:rPr>
        <w:t xml:space="preserve">ст. </w:t>
      </w:r>
      <w:r>
        <w:rPr>
          <w:rStyle w:val="CharStyle11"/>
          <w:b/>
          <w:bCs/>
          <w:lang w:val="en-US" w:eastAsia="en-US"/>
        </w:rPr>
        <w:t xml:space="preserve">99 </w:t>
      </w:r>
      <w:r>
        <w:rPr>
          <w:rStyle w:val="CharStyle11"/>
          <w:b/>
          <w:bCs/>
        </w:rPr>
        <w:t>Закона о закупках,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Извещением </w:t>
      </w:r>
      <w:r>
        <w:rPr>
          <w:rStyle w:val="CharStyle11"/>
          <w:lang w:val="en-US" w:eastAsia="en-US"/>
        </w:rPr>
        <w:t xml:space="preserve">№ 0356200013326000122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25.09.2026 </w:t>
      </w:r>
      <w:r>
        <w:rPr>
          <w:rStyle w:val="CharStyle11"/>
        </w:rPr>
        <w:t xml:space="preserve">г. ГБУЗ ПК «ПККНД» было объявлено о проведении открытого аукциона в электронной форме на поставку лекарственного препарата (карбамазепин) по начальной (максимальной) цене контракта в размере </w:t>
      </w:r>
      <w:r>
        <w:rPr>
          <w:rStyle w:val="CharStyle11"/>
          <w:lang w:val="en-US" w:eastAsia="en-US"/>
        </w:rPr>
        <w:t xml:space="preserve">204 540,00 </w:t>
      </w:r>
      <w:r>
        <w:rPr>
          <w:rStyle w:val="CharStyle11"/>
        </w:rPr>
        <w:t xml:space="preserve">руб. и окончанием срока подачи заявок </w:t>
      </w:r>
      <w:r>
        <w:rPr>
          <w:rStyle w:val="CharStyle11"/>
          <w:lang w:val="en-US" w:eastAsia="en-US"/>
        </w:rPr>
        <w:t xml:space="preserve">05.10.2026 </w:t>
      </w:r>
      <w:r>
        <w:rPr>
          <w:rStyle w:val="CharStyle11"/>
        </w:rPr>
        <w:t>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материалах жалобы Заявитель сообщает, что со стороны Комиссии по осуществлению закупок неправомерно не были применены положения подп. «у»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23.12.2024 № 1875 </w:t>
      </w:r>
      <w:r>
        <w:rPr>
          <w:rStyle w:val="CharStyle11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>№ 1875).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по осуществлению закупок с доводом, изложенными в жалобе Заявителя не согласна, просит признать жалобу необоснованной, поскольку победителем приложена необходимая информация, в том числе запись из РРПП, при этом в такой записи уже отражены сведения о стадиях производства и синтезе действующего вещества, в связи с чем приложение дополнительно СП в составе заявки не требуется.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закупках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подп. «б»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«в»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закупках Правительство Российской Федерации вправе с учетом положений части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настоящей статьи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и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both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383" w:right="541" w:bottom="60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В соответствии с подп. «а»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 xml:space="preserve">Закона о закупках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настоящего Федерального закона, товарный знак (при наличии у товара </w:t>
      </w:r>
      <w:r>
        <w:rPr>
          <w:rStyle w:val="CharStyle11"/>
          <w:lang w:val="en-US" w:eastAsia="en-US"/>
        </w:rPr>
        <w:t>2026-9518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товарного знака).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111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Из буквального толкования подп. «б» п.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08.06.2018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656 </w:t>
      </w:r>
      <w:r>
        <w:rPr>
          <w:rStyle w:val="CharStyle11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656) </w:t>
      </w:r>
      <w:r>
        <w:rPr>
          <w:rStyle w:val="CharStyle11"/>
        </w:rPr>
        <w:t xml:space="preserve">следует, что формирование и размещение на электронной площадке, специализированной электронной площадке заявки на участие в закупке осуществляются путем заполнения экранных форм веб-интерфейса электронной площадки, специализированной электронной площадки, где подлежат указанию: номер реестровой записи (при наличии такого номера) из реестра российской промышленной продукции, предусмотренного Федеральным законом "О промышленной политике в Российской Федерации", в отношении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1 </w:t>
      </w:r>
      <w:r>
        <w:rPr>
          <w:rStyle w:val="CharStyle11"/>
        </w:rPr>
        <w:t xml:space="preserve">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 </w:t>
      </w:r>
      <w:r>
        <w:rPr>
          <w:rStyle w:val="CharStyle11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постановление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1875), </w:t>
      </w:r>
      <w:r>
        <w:rPr>
          <w:rStyle w:val="CharStyle11"/>
        </w:rPr>
        <w:t xml:space="preserve">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2 </w:t>
      </w:r>
      <w:r>
        <w:rPr>
          <w:rStyle w:val="CharStyle11"/>
        </w:rPr>
        <w:t xml:space="preserve">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если при осуществлении закупки применяются запрет и (или) ограничение, предусмотренные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и в соответствии с абзацем четвертым настоящего подпункта страной происхождения товара указана Российская Федерация. В случае если в отношении такого товара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июля </w:t>
      </w:r>
      <w:r>
        <w:rPr>
          <w:rStyle w:val="CharStyle11"/>
          <w:lang w:val="en-US" w:eastAsia="en-US"/>
        </w:rPr>
        <w:t xml:space="preserve">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719 </w:t>
      </w:r>
      <w:r>
        <w:rPr>
          <w:rStyle w:val="CharStyle11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баллов, указывается совокупное количество баллов за выполнение (освоение) на территории Российской Федерации соответствующих операций (условий);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Федерального закона; номер реестровой записи (при наличии такого номера) из евразийского реестра промышленных товаров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в отношении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1 </w:t>
      </w:r>
      <w:r>
        <w:rPr>
          <w:rStyle w:val="CharStyle11"/>
        </w:rPr>
        <w:t xml:space="preserve">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2 </w:t>
      </w:r>
      <w:r>
        <w:rPr>
          <w:rStyle w:val="CharStyle11"/>
        </w:rPr>
        <w:t xml:space="preserve">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если при осуществлении закупки применяются запрет и (или) ограничение, предусмотренные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и в соответствии с абзацем четвертым настоящего подпункта страной происхождения товара указано государство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 Евразийского экономического союза, за исключением Российской Федерации. При этом указывается совокупное количество баллов за выполнение (освоение) на территории Евразийского экономического союза соответствующих операций (условий), если в отношении такого товара правом Евразийского экономического союза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(условий); порядковый номер реестровой записи (при наличии такого порядкового номера) из единого реестра российских программ для электронных вычислительных машин и баз данных в отношении программы для электронных вычислительных машин и (или) баз данных, указанных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1 </w:t>
      </w:r>
      <w:r>
        <w:rPr>
          <w:rStyle w:val="CharStyle11"/>
        </w:rPr>
        <w:t xml:space="preserve">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программное обеспечение), если при осуществлении закупки применяется запрет, предусмотренный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>декабря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и в соответствии с абзацем четвертым настоящего подпункта страной происхождения программного обеспечения указана Российская Федерация; порядковый номер реестровой записи (при наличии такого порядкового номера) из единого реестра программ для электронных вычислительных машин и баз данных 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Федерации, в отношении программного обеспечения, если при осуществлении закупки применяется запрет, предусмотренный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1875, </w:t>
      </w:r>
      <w:r>
        <w:rPr>
          <w:rStyle w:val="CharStyle11"/>
        </w:rPr>
        <w:t xml:space="preserve">и в соответствии с абзацем четвертым настоящего подпункта страной происхождения программного обеспечения указано государство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член Евразийского экономического союза, за исключением Российской Федерации;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Вместе с тем, подп. «в» п.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656 </w:t>
      </w:r>
      <w:r>
        <w:rPr>
          <w:rStyle w:val="CharStyle11"/>
        </w:rPr>
        <w:t>установлено, что в случае незаполнения экранных форм веб-интерфейса электронной площадки, специализированной электронной площадки в соответствии с подпунктом «б» настоящего пункта, заявка на участие в закупке на электронной площадке, специализированной электронной площадке не формируется.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полагает необходимым акцентировать внимание на том обстоятельстве, что вышеуказанные положения установлены Правительством Российской Федерации в составе дополнительных требований, предусмотренных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24.1 </w:t>
      </w:r>
      <w:r>
        <w:rPr>
          <w:rStyle w:val="CharStyle11"/>
        </w:rPr>
        <w:t xml:space="preserve">Закона о закупках и устанавливающих, в том числе, требования к проведению электронных процедур на электронной площадке (подпункт «б» п.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656), </w:t>
      </w:r>
      <w:r>
        <w:rPr>
          <w:rStyle w:val="CharStyle11"/>
        </w:rPr>
        <w:t xml:space="preserve">в связи с чем носят обязательный характер для участников контрактной системы в сфере закупок, в том числе для участников закупок. Аналогичный вывод отражен в информационном письме Минфина России от </w:t>
      </w:r>
      <w:r>
        <w:rPr>
          <w:rStyle w:val="CharStyle11"/>
          <w:lang w:val="en-US" w:eastAsia="en-US"/>
        </w:rPr>
        <w:t xml:space="preserve">18.12.2023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>№ 24</w:t>
        <w:softHyphen/>
        <w:t>01-10/122331.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 xml:space="preserve">Закона о закупках заявка должна содержать информацию и документы, определенные в соответствии с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подп. «а»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 xml:space="preserve">Закона о закупках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1"/>
          <w:lang w:val="en-US" w:eastAsia="en-US"/>
        </w:rPr>
        <w:t xml:space="preserve">1 - 8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 xml:space="preserve">Закона о закупках при рассмотрении вторых частей заявок на участие в закупке соответствующая заявка подлежит отклонению в случаях предусмотренных подпунктом "а"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(за исключением случая, предусмотренного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настоящей части), подпунктом "а"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4, </w:t>
      </w:r>
      <w:r>
        <w:rPr>
          <w:rStyle w:val="CharStyle11"/>
        </w:rPr>
        <w:t xml:space="preserve">подпунктом "а"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(за исключением случая, предусмотренного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настоящей части),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 учетом совокупного толкования вышеизложенных норм, комиссия по осуществлению закупок для нужд заказчика принимает решение об отклонении соответствующей заявки на основании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о закупках исходя из требований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58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1, </w:t>
      </w:r>
      <w:r>
        <w:rPr>
          <w:rStyle w:val="CharStyle11"/>
        </w:rPr>
        <w:t xml:space="preserve">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закупках извещение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</w:t>
      </w:r>
      <w:r>
        <w:rPr>
          <w:rStyle w:val="CharStyle11"/>
          <w:lang w:val="en-US" w:eastAsia="en-US"/>
        </w:rPr>
        <w:t>2026-9518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закупки, а также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Установлено, что объектом рассматриваемой закупки является поставка карбамазепина в таблетках </w:t>
      </w:r>
      <w:r>
        <w:rPr>
          <w:rStyle w:val="CharStyle11"/>
          <w:lang w:val="en-US" w:eastAsia="en-US"/>
        </w:rPr>
        <w:t xml:space="preserve">(21.20.10.233: </w:t>
      </w:r>
      <w:r>
        <w:rPr>
          <w:rStyle w:val="CharStyle11"/>
        </w:rPr>
        <w:t xml:space="preserve">Препараты противоэпилептические </w:t>
      </w:r>
      <w:r>
        <w:rPr>
          <w:rStyle w:val="CharStyle11"/>
          <w:lang w:val="en-US" w:eastAsia="en-US"/>
        </w:rPr>
        <w:t>21.20.10.233-00007).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Вопреки доводам Комиссии по осуществлению закупок в силу п. </w:t>
      </w:r>
      <w:r>
        <w:rPr>
          <w:rStyle w:val="CharStyle11"/>
          <w:lang w:val="en-US" w:eastAsia="en-US"/>
        </w:rPr>
        <w:t xml:space="preserve">3.1 </w:t>
      </w:r>
      <w:r>
        <w:rPr>
          <w:rStyle w:val="CharStyle11"/>
        </w:rPr>
        <w:t xml:space="preserve">Требований к содержанию, составу заявки на участие в закупке, размещенным в составе извещения о проведении оспариваемой закупки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Требования), подп. «в»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 в целях подпунктов "у" и "ф"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настоящего постановления в дополнение к информации и документам, предусмотренным настоящим постановлением,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выданный Министерством промышленности и торговли Российской Федерации в установленном им порядке.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 учетом вышеизложенного, сведения о реестровой записи РРПП не являются документом,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07.10.2026 </w:t>
      </w:r>
      <w:r>
        <w:rPr>
          <w:rStyle w:val="CharStyle11"/>
        </w:rPr>
        <w:t xml:space="preserve">№ИЭА участие приняло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участника с присвоением их заявкам следующих идентификационных номеров: </w:t>
      </w:r>
      <w:r>
        <w:rPr>
          <w:rStyle w:val="CharStyle11"/>
          <w:lang w:val="en-US" w:eastAsia="en-US"/>
        </w:rPr>
        <w:t xml:space="preserve">38; 113; 117; 234. </w:t>
      </w:r>
      <w:r>
        <w:rPr>
          <w:rStyle w:val="CharStyle11"/>
        </w:rPr>
        <w:t xml:space="preserve">Победителем признан участник, заявке которого соответствует идент.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заявки </w:t>
      </w:r>
      <w:r>
        <w:rPr>
          <w:rStyle w:val="CharStyle11"/>
          <w:lang w:val="en-US" w:eastAsia="en-US"/>
        </w:rPr>
        <w:t>117.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ходе анализа заявок участников оспариваемой закупки установлено, что СП приложен исключительно участником закупки с идент.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заявки </w:t>
      </w:r>
      <w:r>
        <w:rPr>
          <w:rStyle w:val="CharStyle11"/>
          <w:lang w:val="en-US" w:eastAsia="en-US"/>
        </w:rPr>
        <w:t xml:space="preserve">113. </w:t>
      </w:r>
      <w:r>
        <w:rPr>
          <w:rStyle w:val="CharStyle11"/>
        </w:rPr>
        <w:t xml:space="preserve">При этом Комиссия полагает необходимым отметить, что требование о предоставлении такого документа в составе заявки для целей подп. «у»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>а также применение последнего указано в извещение, в том числе в требованиях к содержанию и составу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 учетом вышеизложенного, заявки участников закупки, не содержащие вышеуказанный документ и определенный подп. «в»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надлежало приравнять к заявкам, содержащим предложение о поставке товара, происходящего на территории иностранного государства и отклонить на основании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 xml:space="preserve">Закона о закупках, поскольку на участие в такой закупке подана заявка и признанная по результатам ее рассмотрения соответствующей требованиям, содержащая предложение о поставке лекарственного препарата,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 и как следствие в действиях Комиссии по осуществлению закупок усматривается нарушение подп. «а»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>Закона о закупках, доводы жалобы нашли свое подтверждение.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статей </w:t>
      </w:r>
      <w:r>
        <w:rPr>
          <w:rStyle w:val="CharStyle11"/>
          <w:lang w:val="en-US" w:eastAsia="en-US"/>
        </w:rPr>
        <w:t xml:space="preserve">99, 106 </w:t>
      </w:r>
      <w:r>
        <w:rPr>
          <w:rStyle w:val="CharStyle11"/>
        </w:rPr>
        <w:t>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9" w:name="bookmark9"/>
      <w:r>
        <w:rPr>
          <w:rStyle w:val="CharStyle13"/>
          <w:b/>
          <w:bCs/>
        </w:rPr>
        <w:t>РЕШИЛА</w:t>
      </w:r>
      <w:bookmarkEnd w:id="9"/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жалобу ООО «Алпи-Фарм» на действия комиссии по осуществлению закупок для нужд Государственного бюджетного учреждения здравоохранения Пермского края «Пермский краевой клинический наркологический диспансер»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Комиссия по осуществлению закупок) при проведении открытого аукциона в электронной форме на поставку лекарственного препарата (карбамазепин) (изв. </w:t>
      </w:r>
      <w:r>
        <w:rPr>
          <w:rStyle w:val="CharStyle11"/>
          <w:lang w:val="en-US" w:eastAsia="en-US"/>
        </w:rPr>
        <w:t xml:space="preserve">№ 0356200013326000122) </w:t>
      </w:r>
      <w:r>
        <w:rPr>
          <w:rStyle w:val="CharStyle11"/>
        </w:rPr>
        <w:t>обоснованной;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в действиях комиссии по осуществлению закупок для нужд Государственного бюджетного учреждения здравоохранения Пермского края «Пермский краевой клинический наркологический диспансер» нарушение подп. «а»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>Закона о закупках, выявленное в ходе рассмотрения жалобы;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 целью устранения допущенных нарушений законодательства о контрактной системе ГБУЗ ПК «ПККНД», комиссии по осуществлению закупок для нужд ГБУЗ ПК «ПККНД», Оператору ЭТП выдать предписание;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Передать материалы настоящей жалобы должностному лицу Пермского УФАС России для принятия решения о привлечении должностных лиц комиссии по осуществлению закупок для нужд ГБУЗ ПК «ПККНД» к административной ответственности за допущенные нарушения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i/>
          <w:iCs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07" w:right="542" w:bottom="1392" w:left="1105" w:header="67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198120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266700</wp:posOffset>
                </wp:positionV>
                <wp:extent cx="1569720" cy="2197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5pt;margin-top:21.pt;width:123.60000000000001pt;height:17.300000000000001pt;z-index:-125829370;mso-wrap-distance-left:0;mso-wrap-distance-top:21.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0" distB="0" distL="0" distR="0" simplePos="0" relativeHeight="125829385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425450</wp:posOffset>
                </wp:positionV>
                <wp:extent cx="1722120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9999999999999pt;margin-top:33.5pt;width:135.59999999999999pt;height:20.400000000000002pt;z-index:-125829368;mso-wrap-distance-left:0;mso-wrap-distance-top:33.5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98120" distL="0" distR="0" simplePos="0" relativeHeight="125829387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266700</wp:posOffset>
                </wp:positionV>
                <wp:extent cx="1039495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25pt;margin-top:21.pt;width:81.850000000000009pt;height:17.300000000000001pt;z-index:-125829366;mso-wrap-distance-left:0;mso-wrap-distance-top:21.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Субботина Екатерина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170DF1A7372BA75865DD87CBF6E43525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9"/>
        </w:rPr>
        <w:t xml:space="preserve">Действителен с 20.01.2026 </w:t>
      </w:r>
      <w:r>
        <w:rPr>
          <w:rStyle w:val="CharStyle29"/>
          <w:color w:val="575757"/>
        </w:rPr>
        <w:t xml:space="preserve">по </w:t>
      </w:r>
      <w:r>
        <w:rPr>
          <w:rStyle w:val="CharStyle29"/>
        </w:rPr>
        <w:t>15.04.2027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20000000000002pt;margin-top:36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А.М. Чудинов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Чудинов Артём Михайлович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4971A8BA0CE5D5155BD94FA9FD241816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9"/>
        </w:rPr>
        <w:t xml:space="preserve">Действителен с 10.11.2025 </w:t>
      </w:r>
      <w:r>
        <w:rPr>
          <w:rStyle w:val="CharStyle29"/>
          <w:color w:val="575757"/>
        </w:rPr>
        <w:t xml:space="preserve">по </w:t>
      </w:r>
      <w:r>
        <w:rPr>
          <w:rStyle w:val="CharStyle29"/>
        </w:rPr>
        <w:t>03.02.2027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05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С.А. Мальцев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Мальцев Сергей Андреевич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7381B2F91307D76D2DFDEAB173C10948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</w:pPr>
      <w:r>
        <w:rPr>
          <w:rStyle w:val="CharStyle29"/>
        </w:rPr>
        <w:t xml:space="preserve">Действителен с </w:t>
      </w:r>
      <w:r>
        <w:rPr>
          <w:rStyle w:val="CharStyle29"/>
          <w:color w:val="575757"/>
        </w:rPr>
        <w:t>21.05.2026 по 14.08.2027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1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008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2026-9518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75.70000000000005pt;width:50.3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2026-9518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0080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2026-9518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75.70000000000005pt;width:50.3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2026-9518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10011410</wp:posOffset>
              </wp:positionV>
              <wp:extent cx="640080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2026-9518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5pt;margin-top:788.30000000000007pt;width:50.399999999999999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2026-9518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10011410</wp:posOffset>
              </wp:positionV>
              <wp:extent cx="640080" cy="1098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2026-9518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5pt;margin-top:788.30000000000007pt;width:50.399999999999999pt;height:8.6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2026-9518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10011410</wp:posOffset>
              </wp:positionV>
              <wp:extent cx="640080" cy="10985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2026-9518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88.30000000000007pt;width:50.399999999999999pt;height:8.6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2026-9518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Body text (3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120"/>
      <w:ind w:left="7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spacing w:after="50"/>
      <w:ind w:left="19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footer" Target="footer6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