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85" w:right="536" w:bottom="938" w:left="110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line="240" w:lineRule="auto"/>
        <w:ind w:left="0" w:right="0" w:firstLine="0"/>
        <w:jc w:val="center"/>
      </w:pPr>
      <w:r>
        <w:rPr>
          <w:rStyle w:val="CharStyle6"/>
        </w:rPr>
        <w:t>г. Нижний Новгород, 603000</w:t>
        <w:br/>
        <w:t>тел. (831) 431-73-73, (831) 431-73-83</w:t>
        <w:br/>
      </w:r>
      <w:r>
        <w:rPr>
          <w:rStyle w:val="CharStyle6"/>
          <w:u w:val="single"/>
          <w:lang w:val="en-US" w:eastAsia="en-US"/>
        </w:rPr>
        <w:t>e-mail: to52@,</w:t>
      </w:r>
      <w:r>
        <w:rPr>
          <w:rStyle w:val="CharStyle6"/>
          <w:u w:val="single"/>
          <w:lang w:val="en-US" w:eastAsia="en-US"/>
        </w:rPr>
        <w:t>fas.gov.ru</w:t>
      </w:r>
    </w:p>
    <w:p>
      <w:pPr>
        <w:pStyle w:val="Style9"/>
        <w:keepNext/>
        <w:keepLines/>
        <w:widowControl w:val="0"/>
        <w:shd w:val="clear" w:color="auto" w:fill="auto"/>
        <w:tabs>
          <w:tab w:pos="1843" w:val="left"/>
        </w:tabs>
        <w:bidi w:val="0"/>
        <w:spacing w:before="0" w:line="240" w:lineRule="auto"/>
        <w:ind w:left="0" w:right="0" w:firstLine="0"/>
        <w:jc w:val="center"/>
      </w:pPr>
      <w:bookmarkStart w:id="0" w:name="bookmark0"/>
      <w:r>
        <w:rPr>
          <w:rStyle w:val="CharStyle10"/>
        </w:rPr>
        <w:t>2</w:t>
      </w:r>
      <w:r>
        <w:fldChar w:fldCharType="begin"/>
      </w:r>
      <w:r>
        <w:rPr/>
        <w:instrText> HYPERLINK "file://f207ca94-a13c-4ba0-b72d-f018c9eed8f1/" </w:instrText>
      </w:r>
      <w:r>
        <w:fldChar w:fldCharType="separate"/>
      </w:r>
      <w:r>
        <w:rPr>
          <w:rStyle w:val="CharStyle10"/>
        </w:rPr>
        <w:t>1.10,2026</w:t>
      </w:r>
      <w:r>
        <w:rPr>
          <w:rStyle w:val="CharStyle10"/>
          <w:u w:val="none"/>
        </w:rPr>
        <w:tab/>
      </w:r>
      <w:r>
        <w:fldChar w:fldCharType="end"/>
      </w:r>
      <w:r>
        <w:rPr>
          <w:rStyle w:val="CharStyle10"/>
          <w:u w:val="none"/>
        </w:rPr>
        <w:t xml:space="preserve">№ </w:t>
      </w:r>
      <w:r>
        <w:rPr>
          <w:rStyle w:val="CharStyle10"/>
        </w:rPr>
        <w:t>ИБ/20964/2</w:t>
      </w:r>
      <w:r>
        <w:rPr>
          <w:rStyle w:val="CharStyle10"/>
          <w:u w:val="none"/>
        </w:rPr>
        <w:t>6</w:t>
      </w:r>
      <w:bookmarkEnd w:id="0"/>
    </w:p>
    <w:p>
      <w:pPr>
        <w:pStyle w:val="Style5"/>
        <w:keepNext w:val="0"/>
        <w:keepLines w:val="0"/>
        <w:widowControl w:val="0"/>
        <w:shd w:val="clear" w:color="auto" w:fill="auto"/>
        <w:bidi w:val="0"/>
        <w:spacing w:before="0" w:after="0" w:line="240" w:lineRule="auto"/>
        <w:ind w:left="0" w:right="0" w:firstLine="0"/>
        <w:jc w:val="left"/>
      </w:pPr>
      <w:r>
        <w:rPr>
          <w:rStyle w:val="CharStyle6"/>
        </w:rPr>
        <w:t xml:space="preserve">На №  от</w:t>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ООО «ИБС транспортные системы» </w:t>
      </w:r>
      <w:r>
        <w:fldChar w:fldCharType="begin"/>
      </w:r>
      <w:r>
        <w:rPr/>
        <w:instrText> HYPERLINK "mailto:crzno@crzno.nobl.ru" </w:instrText>
      </w:r>
      <w:r>
        <w:fldChar w:fldCharType="separate"/>
      </w:r>
      <w:r>
        <w:rPr>
          <w:rStyle w:val="CharStyle13"/>
          <w:lang w:val="en-US" w:eastAsia="en-US"/>
        </w:rPr>
        <w:t>crzno@crzno.nobl.ru</w:t>
      </w:r>
      <w:r>
        <w:fldChar w:fldCharType="end"/>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ГКУ НО «ЦРТС» </w:t>
      </w:r>
      <w:r>
        <w:fldChar w:fldCharType="begin"/>
      </w:r>
      <w:r>
        <w:rPr/>
        <w:instrText> HYPERLINK "mailto:transportsystems@IBS.RU" </w:instrText>
      </w:r>
      <w:r>
        <w:fldChar w:fldCharType="separate"/>
      </w:r>
      <w:r>
        <w:rPr>
          <w:rStyle w:val="CharStyle13"/>
          <w:lang w:val="en-US" w:eastAsia="en-US"/>
        </w:rPr>
        <w:t>transportsystems@IBS.RU</w:t>
      </w:r>
      <w:r>
        <w:fldChar w:fldCharType="end"/>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385" w:right="1544" w:bottom="2215" w:left="1135" w:header="0" w:footer="3" w:gutter="0"/>
          <w:cols w:num="2" w:space="899"/>
          <w:noEndnote/>
          <w:rtlGutter w:val="0"/>
          <w:docGrid w:linePitch="360"/>
        </w:sectPr>
      </w:pPr>
      <w:r>
        <w:rPr>
          <w:rStyle w:val="CharStyle13"/>
        </w:rPr>
        <w:t xml:space="preserve">ООО «ЭТП ГПБ» </w:t>
      </w:r>
      <w:r>
        <w:fldChar w:fldCharType="begin"/>
      </w:r>
      <w:r>
        <w:rPr/>
        <w:instrText> HYPERLINK "mailto:info@etpgpb.ru" </w:instrText>
      </w:r>
      <w:r>
        <w:fldChar w:fldCharType="separate"/>
      </w:r>
      <w:r>
        <w:rPr>
          <w:rStyle w:val="CharStyle13"/>
          <w:lang w:val="en-US" w:eastAsia="en-US"/>
        </w:rPr>
        <w:t>info@etpgpb.ru</w:t>
      </w:r>
      <w:r>
        <w:fldChar w:fldCharType="end"/>
      </w:r>
      <w:r>
        <w:rPr>
          <w:rStyle w:val="CharStyle13"/>
          <w:lang w:val="en-US" w:eastAsia="en-US"/>
        </w:rPr>
        <w:t xml:space="preserve">, </w:t>
      </w:r>
      <w:r>
        <w:fldChar w:fldCharType="begin"/>
      </w:r>
      <w:r>
        <w:rPr/>
        <w:instrText> HYPERLINK "mailto:marketing@etpgpb.ru" </w:instrText>
      </w:r>
      <w:r>
        <w:fldChar w:fldCharType="separate"/>
      </w:r>
      <w:r>
        <w:rPr>
          <w:rStyle w:val="CharStyle13"/>
          <w:lang w:val="en-US" w:eastAsia="en-US"/>
        </w:rPr>
        <w:t>marketing@etpgpb.ru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3" w:after="5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555" w:right="0" w:bottom="1643"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5810885</wp:posOffset>
                </wp:positionH>
                <wp:positionV relativeFrom="paragraph">
                  <wp:posOffset>355600</wp:posOffset>
                </wp:positionV>
                <wp:extent cx="1402080" cy="225425"/>
                <wp:wrapSquare wrapText="left"/>
                <wp:docPr id="9" name="Shape 9"/>
                <a:graphic xmlns:a="http://schemas.openxmlformats.org/drawingml/2006/main">
                  <a:graphicData uri="http://schemas.microsoft.com/office/word/2010/wordprocessingShape">
                    <wps:wsp>
                      <wps:cNvSpPr txBox="1"/>
                      <wps:spPr>
                        <a:xfrm>
                          <a:ext cx="1402080" cy="2254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г. Нижний Новгород</w:t>
                            </w:r>
                          </w:p>
                        </w:txbxContent>
                      </wps:txbx>
                      <wps:bodyPr wrap="none" lIns="0" tIns="0" rIns="0" bIns="0">
                        <a:noAutoFit/>
                      </wps:bodyPr>
                    </wps:wsp>
                  </a:graphicData>
                </a:graphic>
              </wp:anchor>
            </w:drawing>
          </mc:Choice>
          <mc:Fallback>
            <w:pict>
              <v:shape id="_x0000_s1035" type="#_x0000_t202" style="position:absolute;margin-left:457.55000000000001pt;margin-top:28.pt;width:110.40000000000001pt;height:17.75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г. Нижний Новгород</w:t>
                      </w:r>
                    </w:p>
                  </w:txbxContent>
                </v:textbox>
                <w10:wrap type="square" side="left" anchorx="page"/>
              </v:shape>
            </w:pict>
          </mc:Fallback>
        </mc:AlternateContent>
      </w:r>
      <w:r>
        <w:rPr>
          <w:rStyle w:val="CharStyle13"/>
          <w:b/>
          <w:bCs/>
        </w:rPr>
        <w:t>РЕШЕНИЕ</w:t>
        <w:br/>
        <w:t>№ 052/06/105-2372/2026</w:t>
      </w:r>
    </w:p>
    <w:p>
      <w:pPr>
        <w:pStyle w:val="Style12"/>
        <w:keepNext w:val="0"/>
        <w:keepLines w:val="0"/>
        <w:widowControl w:val="0"/>
        <w:shd w:val="clear" w:color="auto" w:fill="auto"/>
        <w:bidi w:val="0"/>
        <w:spacing w:before="0" w:after="240" w:line="240" w:lineRule="auto"/>
        <w:ind w:left="0" w:right="0" w:firstLine="0"/>
        <w:jc w:val="left"/>
      </w:pPr>
      <w:r>
        <w:rPr>
          <w:rStyle w:val="CharStyle13"/>
        </w:rPr>
        <w:t>16 октября 2026 года</w:t>
      </w:r>
    </w:p>
    <w:p>
      <w:pPr>
        <w:pStyle w:val="Style15"/>
        <w:keepNext w:val="0"/>
        <w:keepLines w:val="0"/>
        <w:widowControl w:val="0"/>
        <w:shd w:val="clear" w:color="auto" w:fill="auto"/>
        <w:bidi w:val="0"/>
        <w:spacing w:before="0" w:after="0" w:line="240" w:lineRule="auto"/>
        <w:ind w:left="5" w:right="0" w:firstLine="0"/>
        <w:jc w:val="left"/>
      </w:pPr>
      <w:r>
        <w:rPr>
          <w:rStyle w:val="CharStyle16"/>
        </w:rPr>
        <w:t>Комиссия Управления Федеральной антимонопольной службы по Нижегородской области по контролю в сфере закупок в составе:</w:t>
      </w:r>
    </w:p>
    <w:tbl>
      <w:tblPr>
        <w:tblOverlap w:val="never"/>
        <w:jc w:val="center"/>
        <w:tblLayout w:type="fixed"/>
      </w:tblPr>
      <w:tblGrid>
        <w:gridCol w:w="1733"/>
        <w:gridCol w:w="8515"/>
      </w:tblGrid>
      <w:tr>
        <w:trPr>
          <w:trHeight w:val="298" w:hRule="exact"/>
        </w:trPr>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rStyle w:val="CharStyle18"/>
              </w:rPr>
              <w:t>Баранов И.В.</w:t>
            </w:r>
          </w:p>
        </w:tc>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980"/>
              <w:jc w:val="left"/>
            </w:pPr>
            <w:r>
              <w:rPr>
                <w:rStyle w:val="CharStyle18"/>
              </w:rPr>
              <w:t>– председатель комиссии, заместитель руководителя Управления,</w:t>
            </w:r>
          </w:p>
        </w:tc>
      </w:tr>
      <w:tr>
        <w:trPr>
          <w:trHeight w:val="586" w:hRule="exact"/>
        </w:trPr>
        <w:tc>
          <w:tcPr>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Репин В.А.</w:t>
            </w:r>
          </w:p>
        </w:tc>
        <w:tc>
          <w:tcPr>
            <w:tcBorders/>
            <w:shd w:val="clear" w:color="auto" w:fill="auto"/>
            <w:vAlign w:val="top"/>
          </w:tcPr>
          <w:p>
            <w:pPr>
              <w:pStyle w:val="Style17"/>
              <w:keepNext w:val="0"/>
              <w:keepLines w:val="0"/>
              <w:widowControl w:val="0"/>
              <w:shd w:val="clear" w:color="auto" w:fill="auto"/>
              <w:bidi w:val="0"/>
              <w:spacing w:before="0" w:after="0" w:line="240" w:lineRule="auto"/>
              <w:ind w:left="1240" w:right="0" w:firstLine="0"/>
              <w:jc w:val="left"/>
            </w:pPr>
            <w:r>
              <w:rPr>
                <w:rStyle w:val="CharStyle18"/>
              </w:rPr>
              <w:t>член комиссии, ведущий специалист-эксперт отдела контроля государственных и муниципальных закупок,</w:t>
            </w:r>
          </w:p>
        </w:tc>
      </w:tr>
      <w:tr>
        <w:trPr>
          <w:trHeight w:val="547" w:hRule="exact"/>
        </w:trPr>
        <w:tc>
          <w:tcPr>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Лебедева Ю.К.</w:t>
            </w:r>
          </w:p>
        </w:tc>
        <w:tc>
          <w:tcPr>
            <w:tcBorders/>
            <w:shd w:val="clear" w:color="auto" w:fill="auto"/>
            <w:vAlign w:val="top"/>
          </w:tcPr>
          <w:p>
            <w:pPr>
              <w:pStyle w:val="Style17"/>
              <w:keepNext w:val="0"/>
              <w:keepLines w:val="0"/>
              <w:widowControl w:val="0"/>
              <w:shd w:val="clear" w:color="auto" w:fill="auto"/>
              <w:bidi w:val="0"/>
              <w:spacing w:before="0" w:after="0" w:line="240" w:lineRule="auto"/>
              <w:ind w:left="1240" w:right="0" w:firstLine="0"/>
              <w:jc w:val="left"/>
            </w:pPr>
            <w:r>
              <w:rPr>
                <w:rStyle w:val="CharStyle18"/>
              </w:rPr>
              <w:t>член комиссии, специалист-эксперт отдела контроля государственных и муниципальных закупок,</w:t>
            </w:r>
          </w:p>
        </w:tc>
      </w:tr>
    </w:tbl>
    <w:p>
      <w:pPr>
        <w:widowControl w:val="0"/>
        <w:spacing w:after="239" w:line="1" w:lineRule="exact"/>
      </w:pPr>
    </w:p>
    <w:p>
      <w:pPr>
        <w:widowControl w:val="0"/>
        <w:spacing w:line="1" w:lineRule="exact"/>
      </w:pPr>
    </w:p>
    <w:p>
      <w:pPr>
        <w:pStyle w:val="Style15"/>
        <w:keepNext w:val="0"/>
        <w:keepLines w:val="0"/>
        <w:widowControl w:val="0"/>
        <w:shd w:val="clear" w:color="auto" w:fill="auto"/>
        <w:bidi w:val="0"/>
        <w:spacing w:before="0" w:after="0" w:line="240" w:lineRule="auto"/>
        <w:ind w:left="10" w:right="0" w:firstLine="0"/>
        <w:jc w:val="left"/>
      </w:pPr>
      <w:r>
        <w:rPr>
          <w:rStyle w:val="CharStyle16"/>
        </w:rPr>
        <w:t>при участии по видео-конференц-связи:</w:t>
      </w:r>
    </w:p>
    <w:tbl>
      <w:tblPr>
        <w:tblOverlap w:val="never"/>
        <w:jc w:val="center"/>
        <w:tblLayout w:type="fixed"/>
      </w:tblPr>
      <w:tblGrid>
        <w:gridCol w:w="2045"/>
        <w:gridCol w:w="8218"/>
      </w:tblGrid>
      <w:tr>
        <w:trPr>
          <w:trHeight w:val="576" w:hRule="exact"/>
        </w:trPr>
        <w:tc>
          <w:tcPr>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Степанов Р.В.</w:t>
            </w:r>
          </w:p>
        </w:tc>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940"/>
              <w:jc w:val="left"/>
            </w:pPr>
            <w:r>
              <w:rPr>
                <w:rStyle w:val="CharStyle18"/>
              </w:rPr>
              <w:t>представитель ООО «ИБС транспортные системы» по</w:t>
            </w:r>
          </w:p>
          <w:p>
            <w:pPr>
              <w:pStyle w:val="Style17"/>
              <w:keepNext w:val="0"/>
              <w:keepLines w:val="0"/>
              <w:widowControl w:val="0"/>
              <w:shd w:val="clear" w:color="auto" w:fill="auto"/>
              <w:bidi w:val="0"/>
              <w:spacing w:before="0" w:after="0" w:line="180" w:lineRule="auto"/>
              <w:ind w:left="0" w:right="0" w:firstLine="680"/>
              <w:jc w:val="left"/>
              <w:rPr>
                <w:sz w:val="20"/>
                <w:szCs w:val="20"/>
              </w:rPr>
            </w:pPr>
            <w:r>
              <w:rPr>
                <w:rStyle w:val="CharStyle18"/>
                <w:sz w:val="20"/>
                <w:szCs w:val="20"/>
                <w:vertAlign w:val="subscript"/>
              </w:rPr>
              <w:t>–</w:t>
            </w:r>
          </w:p>
          <w:p>
            <w:pPr>
              <w:pStyle w:val="Style17"/>
              <w:keepNext w:val="0"/>
              <w:keepLines w:val="0"/>
              <w:widowControl w:val="0"/>
              <w:shd w:val="clear" w:color="auto" w:fill="auto"/>
              <w:bidi w:val="0"/>
              <w:spacing w:before="0" w:after="0" w:line="180" w:lineRule="auto"/>
              <w:ind w:left="0" w:right="0" w:firstLine="940"/>
              <w:jc w:val="left"/>
            </w:pPr>
            <w:r>
              <w:rPr>
                <w:rStyle w:val="CharStyle18"/>
              </w:rPr>
              <w:t>доверенности от 14.10.2026 № 628/26,</w:t>
            </w:r>
          </w:p>
        </w:tc>
      </w:tr>
      <w:tr>
        <w:trPr>
          <w:trHeight w:val="552" w:hRule="exact"/>
        </w:trPr>
        <w:tc>
          <w:tcPr>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Барагин А.А.</w:t>
            </w:r>
          </w:p>
        </w:tc>
        <w:tc>
          <w:tcPr>
            <w:tcBorders/>
            <w:shd w:val="clear" w:color="auto" w:fill="auto"/>
            <w:vAlign w:val="bottom"/>
          </w:tcPr>
          <w:p>
            <w:pPr>
              <w:pStyle w:val="Style17"/>
              <w:keepNext w:val="0"/>
              <w:keepLines w:val="0"/>
              <w:widowControl w:val="0"/>
              <w:shd w:val="clear" w:color="auto" w:fill="auto"/>
              <w:bidi w:val="0"/>
              <w:spacing w:before="0" w:after="0" w:line="240" w:lineRule="auto"/>
              <w:ind w:left="940" w:right="0" w:firstLine="0"/>
              <w:jc w:val="left"/>
            </w:pPr>
            <w:r>
              <w:rPr>
                <w:rStyle w:val="CharStyle18"/>
              </w:rPr>
              <w:t>представитель ГКУ НО «ЦРТС» по доверенности от 14.10.2026 № 47-02-52/26,</w:t>
            </w:r>
          </w:p>
        </w:tc>
      </w:tr>
      <w:tr>
        <w:trPr>
          <w:trHeight w:val="571" w:hRule="exact"/>
        </w:trPr>
        <w:tc>
          <w:tcPr>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Буров А.В.</w:t>
            </w:r>
          </w:p>
        </w:tc>
        <w:tc>
          <w:tcPr>
            <w:tcBorders/>
            <w:shd w:val="clear" w:color="auto" w:fill="auto"/>
            <w:vAlign w:val="bottom"/>
          </w:tcPr>
          <w:p>
            <w:pPr>
              <w:pStyle w:val="Style17"/>
              <w:keepNext w:val="0"/>
              <w:keepLines w:val="0"/>
              <w:widowControl w:val="0"/>
              <w:shd w:val="clear" w:color="auto" w:fill="auto"/>
              <w:bidi w:val="0"/>
              <w:spacing w:before="0" w:after="0" w:line="240" w:lineRule="auto"/>
              <w:ind w:left="940" w:right="0" w:firstLine="0"/>
              <w:jc w:val="left"/>
            </w:pPr>
            <w:r>
              <w:rPr>
                <w:rStyle w:val="CharStyle18"/>
              </w:rPr>
              <w:t>представитель ГКУ НО «ЦРТС» по доверенности от 12.01.2026 № 02-02-52/26,</w:t>
            </w:r>
          </w:p>
        </w:tc>
      </w:tr>
      <w:tr>
        <w:trPr>
          <w:trHeight w:val="581" w:hRule="exact"/>
        </w:trPr>
        <w:tc>
          <w:tcPr>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Лесникова М.В.</w:t>
            </w:r>
          </w:p>
        </w:tc>
        <w:tc>
          <w:tcPr>
            <w:tcBorders/>
            <w:shd w:val="clear" w:color="auto" w:fill="auto"/>
            <w:vAlign w:val="bottom"/>
          </w:tcPr>
          <w:p>
            <w:pPr>
              <w:pStyle w:val="Style17"/>
              <w:keepNext w:val="0"/>
              <w:keepLines w:val="0"/>
              <w:widowControl w:val="0"/>
              <w:shd w:val="clear" w:color="auto" w:fill="auto"/>
              <w:bidi w:val="0"/>
              <w:spacing w:before="0" w:after="0" w:line="240" w:lineRule="auto"/>
              <w:ind w:left="940" w:right="0" w:firstLine="0"/>
              <w:jc w:val="left"/>
            </w:pPr>
            <w:r>
              <w:rPr>
                <w:rStyle w:val="CharStyle18"/>
              </w:rPr>
              <w:t>представитель ГКУ НО «ЦРЗ НО» по доверенности от 09.01.2025 № 4,</w:t>
            </w:r>
          </w:p>
        </w:tc>
      </w:tr>
      <w:tr>
        <w:trPr>
          <w:trHeight w:val="581" w:hRule="exact"/>
        </w:trPr>
        <w:tc>
          <w:tcPr>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rStyle w:val="CharStyle18"/>
              </w:rPr>
              <w:t>Черепанова А.Н.</w:t>
            </w:r>
          </w:p>
        </w:tc>
        <w:tc>
          <w:tcPr>
            <w:tcBorders/>
            <w:shd w:val="clear" w:color="auto" w:fill="auto"/>
            <w:vAlign w:val="top"/>
          </w:tcPr>
          <w:p>
            <w:pPr>
              <w:pStyle w:val="Style17"/>
              <w:keepNext w:val="0"/>
              <w:keepLines w:val="0"/>
              <w:widowControl w:val="0"/>
              <w:shd w:val="clear" w:color="auto" w:fill="auto"/>
              <w:bidi w:val="0"/>
              <w:spacing w:before="0" w:after="0" w:line="240" w:lineRule="auto"/>
              <w:ind w:left="940" w:right="0" w:firstLine="0"/>
              <w:jc w:val="left"/>
            </w:pPr>
            <w:r>
              <w:rPr>
                <w:rStyle w:val="CharStyle18"/>
              </w:rPr>
              <w:t>представитель ГКУ НО «ЦРЗ НО» по доверенности от 09.01.2025 № 2,</w:t>
            </w:r>
          </w:p>
        </w:tc>
      </w:tr>
    </w:tbl>
    <w:p>
      <w:pPr>
        <w:pStyle w:val="Style15"/>
        <w:keepNext w:val="0"/>
        <w:keepLines w:val="0"/>
        <w:widowControl w:val="0"/>
        <w:shd w:val="clear" w:color="auto" w:fill="auto"/>
        <w:bidi w:val="0"/>
        <w:spacing w:before="0" w:after="0" w:line="240" w:lineRule="auto"/>
        <w:ind w:left="0" w:right="0" w:firstLine="0"/>
        <w:jc w:val="both"/>
      </w:pPr>
      <w:r>
        <w:rPr>
          <w:rStyle w:val="CharStyle16"/>
        </w:rPr>
        <w:t>рассмотрев посредством видео-конференц-связи жалобу общества с ограниченной ответственностью «ИБС транспортные системы» (далее также – Заявитель, ООО «ИБС транспортные системы») о нарушении государственное казённое учреждение Нижегородской</w:t>
      </w:r>
    </w:p>
    <w:p>
      <w:pPr>
        <w:pStyle w:val="Style12"/>
        <w:keepNext w:val="0"/>
        <w:keepLines w:val="0"/>
        <w:widowControl w:val="0"/>
        <w:shd w:val="clear" w:color="auto" w:fill="auto"/>
        <w:bidi w:val="0"/>
        <w:spacing w:before="0" w:after="240" w:line="240" w:lineRule="auto"/>
        <w:ind w:left="0" w:right="0" w:firstLine="0"/>
        <w:jc w:val="both"/>
      </w:pPr>
      <w:r>
        <w:rPr>
          <w:rStyle w:val="CharStyle13"/>
        </w:rPr>
        <w:t xml:space="preserve">области «Центр развития транспортных систем» (далее также </w:t>
      </w:r>
      <w:r>
        <w:rPr>
          <w:rStyle w:val="CharStyle13"/>
          <w:lang w:val="en-US" w:eastAsia="en-US"/>
        </w:rPr>
        <w:t xml:space="preserve">– </w:t>
      </w:r>
      <w:r>
        <w:rPr>
          <w:rStyle w:val="CharStyle13"/>
        </w:rPr>
        <w:t xml:space="preserve">ГКУ НО «ЦРТС», Заказчик) при определении поставщика путем проведения электронный аукцион на право заключения контракта по объекту закупки: «Выполнение работ по ремонту автоматического пункта весового и габаритного контроля в Сергачском муниципальном округе Нижегородской области», номер извещения </w:t>
      </w:r>
      <w:r>
        <w:rPr>
          <w:rStyle w:val="CharStyle13"/>
          <w:lang w:val="en-US" w:eastAsia="en-US"/>
        </w:rPr>
        <w:t>0832200006626000795,</w:t>
      </w:r>
    </w:p>
    <w:p>
      <w:pPr>
        <w:pStyle w:val="Style12"/>
        <w:keepNext w:val="0"/>
        <w:keepLines w:val="0"/>
        <w:widowControl w:val="0"/>
        <w:shd w:val="clear" w:color="auto" w:fill="auto"/>
        <w:bidi w:val="0"/>
        <w:spacing w:before="0" w:after="30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электронный аукцион на право заключения контракта по объекту закупки: «Выполнение работ по ремонту автоматического пункта весового и габаритного контроля в Сергачском муниципальном округе Нижегородской области», номер извещения </w:t>
      </w:r>
      <w:r>
        <w:rPr>
          <w:rStyle w:val="CharStyle13"/>
          <w:lang w:val="en-US" w:eastAsia="en-US"/>
        </w:rPr>
        <w:t>0832200006626000795.</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По мнению заявителя, действия заказчика не соответствуют требованиям положений Федерального закона от </w:t>
      </w:r>
      <w:r>
        <w:rPr>
          <w:rStyle w:val="CharStyle13"/>
          <w:lang w:val="en-US" w:eastAsia="en-US"/>
        </w:rPr>
        <w:t xml:space="preserve">05.04.2013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Представитель Заказчика на заседании Комиссии Нижегородского УФАС России с доводами, изложенными в жалобе заявителя, не согласился, факт нарушений требований Закона о контрактной системе не признал, считает жалобу заявителя необоснованной, а требования, изложенные в ней, не подлежащими удовлетворению.</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ходе заседания Комиссии Нижегородского УФАС России </w:t>
      </w:r>
      <w:r>
        <w:rPr>
          <w:rStyle w:val="CharStyle13"/>
          <w:lang w:val="en-US" w:eastAsia="en-US"/>
        </w:rPr>
        <w:t xml:space="preserve">15.10.2026 </w:t>
      </w:r>
      <w:r>
        <w:rPr>
          <w:rStyle w:val="CharStyle13"/>
        </w:rPr>
        <w:t xml:space="preserve">Комиссией в целях полного и всестороннего рассмотрения сведений объявлен перерыв, заседание продолжилось </w:t>
      </w:r>
      <w:r>
        <w:rPr>
          <w:rStyle w:val="CharStyle13"/>
          <w:lang w:val="en-US" w:eastAsia="en-US"/>
        </w:rPr>
        <w:t>16.10.2026.</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Закона о контрактной системе, пришла к следующим выводам.</w:t>
      </w:r>
    </w:p>
    <w:p>
      <w:pPr>
        <w:pStyle w:val="Style12"/>
        <w:keepNext w:val="0"/>
        <w:keepLines w:val="0"/>
        <w:widowControl w:val="0"/>
        <w:numPr>
          <w:ilvl w:val="0"/>
          <w:numId w:val="1"/>
        </w:numPr>
        <w:shd w:val="clear" w:color="auto" w:fill="auto"/>
        <w:tabs>
          <w:tab w:pos="913" w:val="left"/>
        </w:tabs>
        <w:bidi w:val="0"/>
        <w:spacing w:before="0" w:after="0" w:line="240" w:lineRule="auto"/>
        <w:ind w:left="0" w:right="0" w:firstLine="580"/>
        <w:jc w:val="both"/>
      </w:pPr>
      <w:r>
        <w:rPr>
          <w:rStyle w:val="CharStyle13"/>
          <w:lang w:val="en-US" w:eastAsia="en-US"/>
        </w:rPr>
        <w:t xml:space="preserve">06.10.2026 </w:t>
      </w:r>
      <w:r>
        <w:rPr>
          <w:rStyle w:val="CharStyle13"/>
        </w:rPr>
        <w:t xml:space="preserve">в единой информационной системе и на сайте электронной площадки </w:t>
      </w:r>
      <w:r>
        <w:rPr>
          <w:rStyle w:val="CharStyle13"/>
          <w:lang w:val="en-US" w:eastAsia="en-US"/>
        </w:rPr>
        <w:t xml:space="preserve">– </w:t>
      </w:r>
      <w:r>
        <w:rPr>
          <w:rStyle w:val="CharStyle13"/>
        </w:rPr>
        <w:t xml:space="preserve">ЭТП Газпромбанк </w:t>
      </w:r>
      <w:r>
        <w:rPr>
          <w:rStyle w:val="CharStyle13"/>
          <w:lang w:val="en-US" w:eastAsia="en-US"/>
        </w:rPr>
        <w:t xml:space="preserve">– </w:t>
      </w:r>
      <w:r>
        <w:rPr>
          <w:rStyle w:val="CharStyle13"/>
        </w:rPr>
        <w:t>электронный аукцион.</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Начальная (максимальная) цена контракта </w:t>
      </w:r>
      <w:r>
        <w:rPr>
          <w:rStyle w:val="CharStyle13"/>
          <w:lang w:val="en-US" w:eastAsia="en-US"/>
        </w:rPr>
        <w:t xml:space="preserve">– 46 637 972,85 </w:t>
      </w:r>
      <w:r>
        <w:rPr>
          <w:rStyle w:val="CharStyle13"/>
        </w:rPr>
        <w:t>рублей.</w:t>
      </w:r>
    </w:p>
    <w:p>
      <w:pPr>
        <w:pStyle w:val="Style12"/>
        <w:keepNext w:val="0"/>
        <w:keepLines w:val="0"/>
        <w:widowControl w:val="0"/>
        <w:numPr>
          <w:ilvl w:val="0"/>
          <w:numId w:val="1"/>
        </w:numPr>
        <w:shd w:val="clear" w:color="auto" w:fill="auto"/>
        <w:tabs>
          <w:tab w:pos="913" w:val="left"/>
        </w:tabs>
        <w:bidi w:val="0"/>
        <w:spacing w:before="0" w:after="0" w:line="240" w:lineRule="auto"/>
        <w:ind w:left="0" w:right="0" w:firstLine="580"/>
        <w:jc w:val="both"/>
      </w:pPr>
      <w:r>
        <w:rPr>
          <w:rStyle w:val="CharStyle13"/>
        </w:rPr>
        <w:t>По мнению заявителя, извещение о проведении закупки не соответствуют требованиям Закона о контрактной системе.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силу части </w:t>
      </w:r>
      <w:r>
        <w:rPr>
          <w:rStyle w:val="CharStyle13"/>
          <w:lang w:val="en-US" w:eastAsia="en-US"/>
        </w:rPr>
        <w:t xml:space="preserve">2 </w:t>
      </w:r>
      <w:r>
        <w:rPr>
          <w:rStyle w:val="CharStyle13"/>
        </w:rPr>
        <w:t xml:space="preserve">статьи </w:t>
      </w:r>
      <w:r>
        <w:rPr>
          <w:rStyle w:val="CharStyle13"/>
          <w:lang w:val="en-US" w:eastAsia="en-US"/>
        </w:rPr>
        <w:t xml:space="preserve">8 </w:t>
      </w:r>
      <w:r>
        <w:rPr>
          <w:rStyle w:val="CharStyle13"/>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280" w:line="240" w:lineRule="auto"/>
        <w:ind w:left="0" w:right="0" w:firstLine="580"/>
        <w:jc w:val="both"/>
      </w:pPr>
      <w:r>
        <w:rPr>
          <w:rStyle w:val="CharStyle13"/>
        </w:rPr>
        <w:t xml:space="preserve">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 извещение об осуществлении закупки, если иное не предусмотрено настоящим Федеральным законом,</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должно содержать описание объекта закупки в соответствии со статьей </w:t>
      </w:r>
      <w:r>
        <w:rPr>
          <w:rStyle w:val="CharStyle13"/>
          <w:lang w:val="en-US" w:eastAsia="en-US"/>
        </w:rPr>
        <w:t xml:space="preserve">33 </w:t>
      </w:r>
      <w:r>
        <w:rPr>
          <w:rStyle w:val="CharStyle13"/>
        </w:rPr>
        <w:t>настоящего Федерального закона.</w:t>
      </w:r>
    </w:p>
    <w:p>
      <w:pPr>
        <w:pStyle w:val="Style12"/>
        <w:keepNext w:val="0"/>
        <w:keepLines w:val="0"/>
        <w:widowControl w:val="0"/>
        <w:shd w:val="clear" w:color="auto" w:fill="auto"/>
        <w:bidi w:val="0"/>
        <w:spacing w:before="0" w:after="0" w:line="240" w:lineRule="auto"/>
        <w:ind w:left="0" w:right="0" w:firstLine="600"/>
        <w:jc w:val="both"/>
      </w:pPr>
      <w:r>
        <w:rPr>
          <w:rStyle w:val="CharStyle13"/>
        </w:rPr>
        <w:t xml:space="preserve">Пунктами </w:t>
      </w:r>
      <w:r>
        <w:rPr>
          <w:rStyle w:val="CharStyle13"/>
          <w:lang w:val="en-US" w:eastAsia="en-US"/>
        </w:rPr>
        <w:t xml:space="preserve">1 </w:t>
      </w:r>
      <w:r>
        <w:rPr>
          <w:rStyle w:val="CharStyle13"/>
        </w:rPr>
        <w:t xml:space="preserve">и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установлено, что Заказчик при описании объекта закупки должен руководствоваться следующими правилами:</w:t>
      </w:r>
    </w:p>
    <w:p>
      <w:pPr>
        <w:pStyle w:val="Style12"/>
        <w:keepNext w:val="0"/>
        <w:keepLines w:val="0"/>
        <w:widowControl w:val="0"/>
        <w:numPr>
          <w:ilvl w:val="0"/>
          <w:numId w:val="3"/>
        </w:numPr>
        <w:shd w:val="clear" w:color="auto" w:fill="auto"/>
        <w:tabs>
          <w:tab w:pos="997" w:val="left"/>
        </w:tabs>
        <w:bidi w:val="0"/>
        <w:spacing w:before="0" w:after="0" w:line="240" w:lineRule="auto"/>
        <w:ind w:left="0" w:right="0" w:firstLine="600"/>
        <w:jc w:val="both"/>
      </w:pPr>
      <w:r>
        <w:rPr>
          <w:rStyle w:val="CharStyle13"/>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2"/>
        <w:keepNext w:val="0"/>
        <w:keepLines w:val="0"/>
        <w:widowControl w:val="0"/>
        <w:numPr>
          <w:ilvl w:val="0"/>
          <w:numId w:val="5"/>
        </w:numPr>
        <w:shd w:val="clear" w:color="auto" w:fill="auto"/>
        <w:tabs>
          <w:tab w:pos="927" w:val="left"/>
        </w:tabs>
        <w:bidi w:val="0"/>
        <w:spacing w:before="0" w:after="0" w:line="240" w:lineRule="auto"/>
        <w:ind w:left="0" w:right="0" w:firstLine="600"/>
        <w:jc w:val="both"/>
      </w:pPr>
      <w:r>
        <w:rPr>
          <w:rStyle w:val="CharStyle13"/>
        </w:rPr>
        <w:t>сопровождение такого указания словами "или эквивалент";</w:t>
      </w:r>
    </w:p>
    <w:p>
      <w:pPr>
        <w:pStyle w:val="Style12"/>
        <w:keepNext w:val="0"/>
        <w:keepLines w:val="0"/>
        <w:widowControl w:val="0"/>
        <w:numPr>
          <w:ilvl w:val="0"/>
          <w:numId w:val="5"/>
        </w:numPr>
        <w:shd w:val="clear" w:color="auto" w:fill="auto"/>
        <w:tabs>
          <w:tab w:pos="997" w:val="left"/>
        </w:tabs>
        <w:bidi w:val="0"/>
        <w:spacing w:before="0" w:after="0" w:line="240" w:lineRule="auto"/>
        <w:ind w:left="0" w:right="0" w:firstLine="600"/>
        <w:jc w:val="both"/>
      </w:pPr>
      <w:r>
        <w:rPr>
          <w:rStyle w:val="CharStyle13"/>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2"/>
        <w:keepNext w:val="0"/>
        <w:keepLines w:val="0"/>
        <w:widowControl w:val="0"/>
        <w:numPr>
          <w:ilvl w:val="0"/>
          <w:numId w:val="5"/>
        </w:numPr>
        <w:shd w:val="clear" w:color="auto" w:fill="auto"/>
        <w:tabs>
          <w:tab w:pos="997" w:val="left"/>
        </w:tabs>
        <w:bidi w:val="0"/>
        <w:spacing w:before="0" w:after="0" w:line="240" w:lineRule="auto"/>
        <w:ind w:left="0" w:right="0" w:firstLine="600"/>
        <w:jc w:val="both"/>
      </w:pPr>
      <w:r>
        <w:rPr>
          <w:rStyle w:val="CharStyle13"/>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numPr>
          <w:ilvl w:val="0"/>
          <w:numId w:val="5"/>
        </w:numPr>
        <w:shd w:val="clear" w:color="auto" w:fill="auto"/>
        <w:tabs>
          <w:tab w:pos="997" w:val="left"/>
        </w:tabs>
        <w:bidi w:val="0"/>
        <w:spacing w:before="0" w:after="0" w:line="240" w:lineRule="auto"/>
        <w:ind w:left="0" w:right="0" w:firstLine="600"/>
        <w:jc w:val="both"/>
      </w:pPr>
      <w:r>
        <w:rPr>
          <w:rStyle w:val="CharStyle13"/>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2"/>
        <w:keepNext w:val="0"/>
        <w:keepLines w:val="0"/>
        <w:widowControl w:val="0"/>
        <w:numPr>
          <w:ilvl w:val="0"/>
          <w:numId w:val="3"/>
        </w:numPr>
        <w:shd w:val="clear" w:color="auto" w:fill="auto"/>
        <w:tabs>
          <w:tab w:pos="997" w:val="left"/>
        </w:tabs>
        <w:bidi w:val="0"/>
        <w:spacing w:before="0" w:after="0" w:line="240" w:lineRule="auto"/>
        <w:ind w:left="0" w:right="0" w:firstLine="600"/>
        <w:jc w:val="both"/>
      </w:pPr>
      <w:r>
        <w:rPr>
          <w:rStyle w:val="CharStyle13"/>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numPr>
          <w:ilvl w:val="0"/>
          <w:numId w:val="7"/>
        </w:numPr>
        <w:shd w:val="clear" w:color="auto" w:fill="auto"/>
        <w:tabs>
          <w:tab w:pos="997" w:val="left"/>
        </w:tabs>
        <w:bidi w:val="0"/>
        <w:spacing w:before="0" w:after="0" w:line="240" w:lineRule="auto"/>
        <w:ind w:left="0" w:right="0" w:firstLine="600"/>
        <w:jc w:val="both"/>
      </w:pPr>
      <w:r>
        <w:rPr>
          <w:rStyle w:val="CharStyle13"/>
          <w:i/>
          <w:iCs/>
        </w:rPr>
        <w:t>Согласно первому доводу</w:t>
      </w:r>
      <w:r>
        <w:rPr>
          <w:rStyle w:val="CharStyle13"/>
        </w:rPr>
        <w:t xml:space="preserve"> жалобы Заказчиком установлены требования, предусматривающие применение оборудования ООО «ИЦ «АСИ» без определения условий, позволяющих предложить эквивалентное техническое решение.</w:t>
      </w:r>
    </w:p>
    <w:p>
      <w:pPr>
        <w:pStyle w:val="Style12"/>
        <w:keepNext w:val="0"/>
        <w:keepLines w:val="0"/>
        <w:widowControl w:val="0"/>
        <w:shd w:val="clear" w:color="auto" w:fill="auto"/>
        <w:bidi w:val="0"/>
        <w:spacing w:before="0" w:after="0" w:line="240" w:lineRule="auto"/>
        <w:ind w:left="0" w:right="0" w:firstLine="60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w:t>
      </w:r>
    </w:p>
    <w:p>
      <w:pPr>
        <w:pStyle w:val="Style12"/>
        <w:keepNext w:val="0"/>
        <w:keepLines w:val="0"/>
        <w:widowControl w:val="0"/>
        <w:shd w:val="clear" w:color="auto" w:fill="auto"/>
        <w:bidi w:val="0"/>
        <w:spacing w:before="0" w:after="0" w:line="240" w:lineRule="auto"/>
        <w:ind w:left="0" w:right="0" w:firstLine="0"/>
        <w:jc w:val="both"/>
      </w:pPr>
      <w:r>
        <w:rPr>
          <w:rStyle w:val="CharStyle13"/>
        </w:rPr>
        <w:t>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силу части </w:t>
      </w:r>
      <w:r>
        <w:rPr>
          <w:rStyle w:val="CharStyle13"/>
          <w:lang w:val="en-US" w:eastAsia="en-US"/>
        </w:rPr>
        <w:t xml:space="preserve">2 </w:t>
      </w:r>
      <w:r>
        <w:rPr>
          <w:rStyle w:val="CharStyle13"/>
        </w:rPr>
        <w:t xml:space="preserve">статьи </w:t>
      </w:r>
      <w:r>
        <w:rPr>
          <w:rStyle w:val="CharStyle13"/>
          <w:lang w:val="en-US" w:eastAsia="en-US"/>
        </w:rPr>
        <w:t xml:space="preserve">8 </w:t>
      </w:r>
      <w:r>
        <w:rPr>
          <w:rStyle w:val="CharStyle13"/>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2"/>
        <w:keepNext w:val="0"/>
        <w:keepLines w:val="0"/>
        <w:widowControl w:val="0"/>
        <w:shd w:val="clear" w:color="auto" w:fill="auto"/>
        <w:bidi w:val="0"/>
        <w:spacing w:before="0" w:after="0" w:line="240" w:lineRule="auto"/>
        <w:ind w:left="0" w:right="0" w:firstLine="580"/>
        <w:jc w:val="both"/>
      </w:pPr>
      <w:r>
        <w:rPr>
          <w:rStyle w:val="CharStyle13"/>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12 </w:t>
      </w:r>
      <w:r>
        <w:rPr>
          <w:rStyle w:val="CharStyle13"/>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Допускается использование в описании объекта закупки указания на товарный знак в следующих случаях:</w:t>
      </w:r>
    </w:p>
    <w:p>
      <w:pPr>
        <w:pStyle w:val="Style12"/>
        <w:keepNext w:val="0"/>
        <w:keepLines w:val="0"/>
        <w:widowControl w:val="0"/>
        <w:numPr>
          <w:ilvl w:val="0"/>
          <w:numId w:val="9"/>
        </w:numPr>
        <w:shd w:val="clear" w:color="auto" w:fill="auto"/>
        <w:tabs>
          <w:tab w:pos="941" w:val="left"/>
        </w:tabs>
        <w:bidi w:val="0"/>
        <w:spacing w:before="0" w:after="0" w:line="240" w:lineRule="auto"/>
        <w:ind w:left="0" w:right="0" w:firstLine="580"/>
        <w:jc w:val="both"/>
      </w:pPr>
      <w:r>
        <w:rPr>
          <w:rStyle w:val="CharStyle13"/>
        </w:rPr>
        <w:t>сопровождение такого указания словами "или эквивалент"; 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2"/>
        <w:keepNext w:val="0"/>
        <w:keepLines w:val="0"/>
        <w:widowControl w:val="0"/>
        <w:numPr>
          <w:ilvl w:val="0"/>
          <w:numId w:val="11"/>
        </w:numPr>
        <w:shd w:val="clear" w:color="auto" w:fill="auto"/>
        <w:tabs>
          <w:tab w:pos="941" w:val="left"/>
        </w:tabs>
        <w:bidi w:val="0"/>
        <w:spacing w:before="0" w:after="0" w:line="240" w:lineRule="auto"/>
        <w:ind w:left="0" w:right="0" w:firstLine="580"/>
        <w:jc w:val="both"/>
      </w:pPr>
      <w:r>
        <w:rPr>
          <w:rStyle w:val="CharStyle13"/>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numPr>
          <w:ilvl w:val="0"/>
          <w:numId w:val="11"/>
        </w:numPr>
        <w:shd w:val="clear" w:color="auto" w:fill="auto"/>
        <w:tabs>
          <w:tab w:pos="941" w:val="left"/>
        </w:tabs>
        <w:bidi w:val="0"/>
        <w:spacing w:before="0" w:after="0" w:line="240" w:lineRule="auto"/>
        <w:ind w:left="0" w:right="0" w:firstLine="580"/>
        <w:jc w:val="both"/>
      </w:pPr>
      <w:r>
        <w:rPr>
          <w:rStyle w:val="CharStyle13"/>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Согласно пункту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использование при составлении описания объекта закупки показателей, требований, условных обозначений и</w:t>
      </w:r>
    </w:p>
    <w:p>
      <w:pPr>
        <w:pStyle w:val="Style12"/>
        <w:keepNext w:val="0"/>
        <w:keepLines w:val="0"/>
        <w:widowControl w:val="0"/>
        <w:shd w:val="clear" w:color="auto" w:fill="auto"/>
        <w:bidi w:val="0"/>
        <w:spacing w:before="0" w:after="0" w:line="257" w:lineRule="auto"/>
        <w:ind w:left="0" w:right="0" w:firstLine="0"/>
        <w:jc w:val="both"/>
      </w:pPr>
      <w:r>
        <w:rPr>
          <w:rStyle w:val="CharStyle13"/>
        </w:rPr>
        <w:t>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2"/>
        <w:keepNext w:val="0"/>
        <w:keepLines w:val="0"/>
        <w:widowControl w:val="0"/>
        <w:shd w:val="clear" w:color="auto" w:fill="auto"/>
        <w:bidi w:val="0"/>
        <w:spacing w:before="0" w:after="0" w:line="257" w:lineRule="auto"/>
        <w:ind w:left="0" w:right="0" w:firstLine="600"/>
        <w:jc w:val="both"/>
      </w:pPr>
      <w:r>
        <w:rPr>
          <w:rStyle w:val="CharStyle13"/>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shd w:val="clear" w:color="auto" w:fill="auto"/>
        <w:bidi w:val="0"/>
        <w:spacing w:before="0" w:after="0" w:line="257" w:lineRule="auto"/>
        <w:ind w:left="0" w:right="0" w:firstLine="600"/>
        <w:jc w:val="both"/>
      </w:pPr>
      <w:r>
        <w:rPr>
          <w:rStyle w:val="CharStyle13"/>
        </w:rPr>
        <w:t xml:space="preserve">Частью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документация о закупке в соответствии с требованиями, указанными в части </w:t>
      </w:r>
      <w:r>
        <w:rPr>
          <w:rStyle w:val="CharStyle13"/>
          <w:lang w:val="en-US" w:eastAsia="en-US"/>
        </w:rPr>
        <w:t xml:space="preserve">1 </w:t>
      </w:r>
      <w:r>
        <w:rPr>
          <w:rStyle w:val="CharStyle13"/>
        </w:rPr>
        <w:t>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w:t>
      </w:r>
    </w:p>
    <w:p>
      <w:pPr>
        <w:pStyle w:val="Style12"/>
        <w:keepNext w:val="0"/>
        <w:keepLines w:val="0"/>
        <w:widowControl w:val="0"/>
        <w:shd w:val="clear" w:color="auto" w:fill="auto"/>
        <w:bidi w:val="0"/>
        <w:spacing w:before="0" w:after="0" w:line="257" w:lineRule="auto"/>
        <w:ind w:left="0" w:right="0" w:firstLine="600"/>
        <w:jc w:val="both"/>
      </w:pPr>
      <w:r>
        <w:rPr>
          <w:rStyle w:val="CharStyle13"/>
        </w:rPr>
        <w:t>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2"/>
        <w:keepNext w:val="0"/>
        <w:keepLines w:val="0"/>
        <w:widowControl w:val="0"/>
        <w:shd w:val="clear" w:color="auto" w:fill="auto"/>
        <w:bidi w:val="0"/>
        <w:spacing w:before="0" w:after="0" w:line="257" w:lineRule="auto"/>
        <w:ind w:left="0" w:right="0" w:firstLine="600"/>
        <w:jc w:val="both"/>
      </w:pPr>
      <w:r>
        <w:rPr>
          <w:rStyle w:val="CharStyle13"/>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и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2"/>
        <w:keepNext w:val="0"/>
        <w:keepLines w:val="0"/>
        <w:widowControl w:val="0"/>
        <w:shd w:val="clear" w:color="auto" w:fill="auto"/>
        <w:bidi w:val="0"/>
        <w:spacing w:before="0" w:after="0" w:line="257" w:lineRule="auto"/>
        <w:ind w:left="0" w:right="0" w:firstLine="600"/>
        <w:jc w:val="both"/>
      </w:pPr>
      <w:r>
        <w:rPr>
          <w:rStyle w:val="CharStyle13"/>
        </w:rPr>
        <w:t xml:space="preserve">Согласно части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описание объекта закупки в соответствии с требованиями, указанными в части </w:t>
      </w:r>
      <w:r>
        <w:rPr>
          <w:rStyle w:val="CharStyle13"/>
          <w:lang w:val="en-US" w:eastAsia="en-US"/>
        </w:rPr>
        <w:t xml:space="preserve">1 </w:t>
      </w:r>
      <w:r>
        <w:rPr>
          <w:rStyle w:val="CharStyle13"/>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57" w:lineRule="auto"/>
        <w:ind w:left="0" w:right="0" w:firstLine="600"/>
        <w:jc w:val="both"/>
      </w:pPr>
      <w:r>
        <w:rPr>
          <w:rStyle w:val="CharStyle13"/>
        </w:rPr>
        <w:t xml:space="preserve">Комиссия Нижегородского УФАС России установила, что жалоба размещена в ЕИС </w:t>
      </w:r>
      <w:r>
        <w:rPr>
          <w:rStyle w:val="CharStyle13"/>
          <w:lang w:val="en-US" w:eastAsia="en-US"/>
        </w:rPr>
        <w:t xml:space="preserve">09.10.2026 16 </w:t>
      </w:r>
      <w:r>
        <w:rPr>
          <w:rStyle w:val="CharStyle13"/>
        </w:rPr>
        <w:t xml:space="preserve">часов </w:t>
      </w:r>
      <w:r>
        <w:rPr>
          <w:rStyle w:val="CharStyle13"/>
          <w:lang w:val="en-US" w:eastAsia="en-US"/>
        </w:rPr>
        <w:t xml:space="preserve">42 </w:t>
      </w:r>
      <w:r>
        <w:rPr>
          <w:rStyle w:val="CharStyle13"/>
        </w:rPr>
        <w:t xml:space="preserve">минуты. До подачи жалобы, </w:t>
      </w:r>
      <w:r>
        <w:rPr>
          <w:rStyle w:val="CharStyle13"/>
          <w:lang w:val="en-US" w:eastAsia="en-US"/>
        </w:rPr>
        <w:t xml:space="preserve">09.10.2026 </w:t>
      </w:r>
      <w:r>
        <w:rPr>
          <w:rStyle w:val="CharStyle13"/>
        </w:rPr>
        <w:t xml:space="preserve">в </w:t>
      </w:r>
      <w:r>
        <w:rPr>
          <w:rStyle w:val="CharStyle13"/>
          <w:lang w:val="en-US" w:eastAsia="en-US"/>
        </w:rPr>
        <w:t xml:space="preserve">15 </w:t>
      </w:r>
      <w:r>
        <w:rPr>
          <w:rStyle w:val="CharStyle13"/>
        </w:rPr>
        <w:t xml:space="preserve">часов </w:t>
      </w:r>
      <w:r>
        <w:rPr>
          <w:rStyle w:val="CharStyle13"/>
          <w:lang w:val="en-US" w:eastAsia="en-US"/>
        </w:rPr>
        <w:t xml:space="preserve">53 </w:t>
      </w:r>
      <w:r>
        <w:rPr>
          <w:rStyle w:val="CharStyle13"/>
        </w:rPr>
        <w:t xml:space="preserve">минуты в извещение о проведении закупки Заказчиком были внесены изменения, которые не учтены в жалобе заявителя. В том числе в соответствие с новой редакцией Технического задания работы выполняются в соответствии с объемами, указанными в сметной документации (Приложение </w:t>
      </w:r>
      <w:r>
        <w:rPr>
          <w:rStyle w:val="CharStyle13"/>
          <w:lang w:val="en-US" w:eastAsia="en-US"/>
        </w:rPr>
        <w:t xml:space="preserve">№1), </w:t>
      </w:r>
      <w:r>
        <w:rPr>
          <w:rStyle w:val="CharStyle13"/>
        </w:rPr>
        <w:t xml:space="preserve">техническим заданием и государственным контрактом (п. </w:t>
      </w:r>
      <w:r>
        <w:rPr>
          <w:rStyle w:val="CharStyle13"/>
          <w:lang w:val="en-US" w:eastAsia="en-US"/>
        </w:rPr>
        <w:t xml:space="preserve">5.1). </w:t>
      </w:r>
      <w:r>
        <w:rPr>
          <w:rStyle w:val="CharStyle13"/>
        </w:rPr>
        <w:t xml:space="preserve">В то же время согласно п. </w:t>
      </w:r>
      <w:r>
        <w:rPr>
          <w:rStyle w:val="CharStyle13"/>
          <w:lang w:val="en-US" w:eastAsia="en-US"/>
        </w:rPr>
        <w:t xml:space="preserve">4.1 </w:t>
      </w:r>
      <w:r>
        <w:rPr>
          <w:rStyle w:val="CharStyle13"/>
        </w:rPr>
        <w:t xml:space="preserve">раздела </w:t>
      </w:r>
      <w:r>
        <w:rPr>
          <w:rStyle w:val="CharStyle13"/>
          <w:lang w:val="en-US" w:eastAsia="en-US"/>
        </w:rPr>
        <w:t xml:space="preserve">II </w:t>
      </w:r>
      <w:r>
        <w:rPr>
          <w:rStyle w:val="CharStyle13"/>
        </w:rPr>
        <w:t>извещения все товарные знаки (указание на конкретных производителей), указанные в проектно-сметной документации, локальном сметном расчете необходимо считать сопровождаемыми словами «или эквивалент», а также, что извещение не содержит положений, запрещающих осуществлять замену предусмотренного оборудования (материалов), используемого при выполнении работ на аналогичное (эквивалентное).</w:t>
      </w:r>
    </w:p>
    <w:p>
      <w:pPr>
        <w:pStyle w:val="Style12"/>
        <w:keepNext w:val="0"/>
        <w:keepLines w:val="0"/>
        <w:widowControl w:val="0"/>
        <w:shd w:val="clear" w:color="auto" w:fill="auto"/>
        <w:bidi w:val="0"/>
        <w:spacing w:before="0" w:after="0" w:line="257" w:lineRule="auto"/>
        <w:ind w:left="0" w:right="0" w:firstLine="600"/>
        <w:jc w:val="both"/>
      </w:pPr>
      <w:r>
        <w:rPr>
          <w:rStyle w:val="CharStyle13"/>
        </w:rPr>
        <w:t>Следовательно, довод признается необоснованным.</w:t>
      </w:r>
    </w:p>
    <w:p>
      <w:pPr>
        <w:pStyle w:val="Style12"/>
        <w:keepNext w:val="0"/>
        <w:keepLines w:val="0"/>
        <w:widowControl w:val="0"/>
        <w:numPr>
          <w:ilvl w:val="0"/>
          <w:numId w:val="7"/>
        </w:numPr>
        <w:shd w:val="clear" w:color="auto" w:fill="auto"/>
        <w:tabs>
          <w:tab w:pos="1685" w:val="left"/>
        </w:tabs>
        <w:bidi w:val="0"/>
        <w:spacing w:before="0" w:after="0" w:line="257" w:lineRule="auto"/>
        <w:ind w:left="0" w:right="0" w:firstLine="600"/>
        <w:jc w:val="both"/>
      </w:pPr>
      <w:r>
        <w:rPr>
          <w:rStyle w:val="CharStyle13"/>
          <w:i/>
          <w:iCs/>
        </w:rPr>
        <w:t>Согласно второму доводу жалобы</w:t>
      </w:r>
      <w:r>
        <w:rPr>
          <w:rStyle w:val="CharStyle13"/>
        </w:rPr>
        <w:t xml:space="preserve"> Заказчиком неправомерно установлено требование о</w:t>
      </w:r>
    </w:p>
    <w:p>
      <w:pPr>
        <w:pStyle w:val="Style12"/>
        <w:keepNext w:val="0"/>
        <w:keepLines w:val="0"/>
        <w:widowControl w:val="0"/>
        <w:shd w:val="clear" w:color="auto" w:fill="auto"/>
        <w:bidi w:val="0"/>
        <w:spacing w:before="0" w:after="0" w:line="269" w:lineRule="auto"/>
        <w:ind w:left="0" w:right="0" w:firstLine="0"/>
        <w:jc w:val="both"/>
      </w:pPr>
      <w:r>
        <w:rPr>
          <w:rStyle w:val="CharStyle13"/>
        </w:rPr>
        <w:t>наличии разрешения производителя оборудования на выполнение работ.</w:t>
      </w:r>
    </w:p>
    <w:p>
      <w:pPr>
        <w:pStyle w:val="Style12"/>
        <w:keepNext w:val="0"/>
        <w:keepLines w:val="0"/>
        <w:widowControl w:val="0"/>
        <w:shd w:val="clear" w:color="auto" w:fill="auto"/>
        <w:bidi w:val="0"/>
        <w:spacing w:before="0" w:after="0" w:line="269" w:lineRule="auto"/>
        <w:ind w:left="0" w:right="0" w:firstLine="600"/>
        <w:jc w:val="both"/>
      </w:pPr>
      <w:r>
        <w:rPr>
          <w:rStyle w:val="CharStyle13"/>
        </w:rPr>
        <w:t>В разделе технического задания «Требования к выполнению работ» установлено: «К выполнению работ, допускается персонал, прошедший подготовку у производителя автоматических постов весогабаритного контроля или уполномоченного представителя производителя. Подрядчик обязан предоставить выданный производителем автоматических постов весогабаритного контроля сертификат или иной официальный документ, предоставляющий право Подрядчику на выполнение работ по размещению, монтажу и настройке автоматических постов весогабаритного контроля, а также праве делать отметку о начале течения гарантийного срока».</w:t>
      </w:r>
    </w:p>
    <w:p>
      <w:pPr>
        <w:pStyle w:val="Style12"/>
        <w:keepNext w:val="0"/>
        <w:keepLines w:val="0"/>
        <w:widowControl w:val="0"/>
        <w:shd w:val="clear" w:color="auto" w:fill="auto"/>
        <w:bidi w:val="0"/>
        <w:spacing w:before="0" w:after="0" w:line="269" w:lineRule="auto"/>
        <w:ind w:left="0" w:right="0" w:firstLine="600"/>
        <w:jc w:val="both"/>
      </w:pPr>
      <w:r>
        <w:rPr>
          <w:rStyle w:val="CharStyle13"/>
        </w:rPr>
        <w:t>Там же предусмотрена возможность привлечения производителя автоматических постов весогабаритного контроля либо других лиц, имеющих сертификаты на указанные работы, выданные производителем. Сертификат или иной документ производителя, а при привлечении субподрядчика также договор с ним, представляются в течение двух рабочих дней после подписания контракта. Указанное условие прямо названо существенным для исполнения контракта.</w:t>
      </w:r>
    </w:p>
    <w:p>
      <w:pPr>
        <w:pStyle w:val="Style12"/>
        <w:keepNext w:val="0"/>
        <w:keepLines w:val="0"/>
        <w:widowControl w:val="0"/>
        <w:shd w:val="clear" w:color="auto" w:fill="auto"/>
        <w:bidi w:val="0"/>
        <w:spacing w:before="0" w:after="0" w:line="269" w:lineRule="auto"/>
        <w:ind w:left="0" w:right="0" w:firstLine="600"/>
        <w:jc w:val="both"/>
      </w:pPr>
      <w:r>
        <w:rPr>
          <w:rStyle w:val="CharStyle13"/>
        </w:rPr>
        <w:t xml:space="preserve">В соответствии с частью </w:t>
      </w:r>
      <w:r>
        <w:rPr>
          <w:rStyle w:val="CharStyle13"/>
          <w:lang w:val="en-US" w:eastAsia="en-US"/>
        </w:rPr>
        <w:t xml:space="preserve">3 </w:t>
      </w:r>
      <w:r>
        <w:rPr>
          <w:rStyle w:val="CharStyle13"/>
        </w:rPr>
        <w:t xml:space="preserve">статьи </w:t>
      </w:r>
      <w:r>
        <w:rPr>
          <w:rStyle w:val="CharStyle13"/>
          <w:lang w:val="en-US" w:eastAsia="en-US"/>
        </w:rPr>
        <w:t xml:space="preserve">33 </w:t>
      </w:r>
      <w:r>
        <w:rPr>
          <w:rStyle w:val="CharStyle13"/>
        </w:rPr>
        <w:t>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2"/>
        <w:keepNext w:val="0"/>
        <w:keepLines w:val="0"/>
        <w:widowControl w:val="0"/>
        <w:shd w:val="clear" w:color="auto" w:fill="auto"/>
        <w:bidi w:val="0"/>
        <w:spacing w:before="0" w:after="0" w:line="269" w:lineRule="auto"/>
        <w:ind w:left="0" w:right="0" w:firstLine="600"/>
        <w:jc w:val="both"/>
      </w:pPr>
      <w:r>
        <w:rPr>
          <w:rStyle w:val="CharStyle13"/>
        </w:rPr>
        <w:t>Комиссия Нижегородского УФАС России установила, что требование технического задания относится к квалификации персонала и праву подрядчика выполнять работы, а не к характеристикам результата работ. Нормативный акт, предусматривающий обязательное получение разрешения изготовителя автоматических постов весогабаритного контроля на выполнение таких работ, Заказчиком не указан. Наличие у подрядчика соответствующих специалистов и обязанность соблюдать эксплуатационную документацию сами по себе не обусловливают необходимость получения разрешения коммерческой организации.</w:t>
      </w:r>
    </w:p>
    <w:p>
      <w:pPr>
        <w:pStyle w:val="Style12"/>
        <w:keepNext w:val="0"/>
        <w:keepLines w:val="0"/>
        <w:widowControl w:val="0"/>
        <w:shd w:val="clear" w:color="auto" w:fill="auto"/>
        <w:bidi w:val="0"/>
        <w:spacing w:before="0" w:after="0" w:line="269" w:lineRule="auto"/>
        <w:ind w:left="0" w:right="0" w:firstLine="600"/>
        <w:jc w:val="both"/>
      </w:pPr>
      <w:r>
        <w:rPr>
          <w:rStyle w:val="CharStyle13"/>
        </w:rPr>
        <w:t>Порядок выдачи требуемого документа, сроки обучения, стоимость и условия предоставления допуска в техническом задании не приведены. Участник, не имеющий сертификата к моменту подачи заявки, не может определить возможность его получения в установленный двухдневный срок. Исполнение существенного условия контракта тем самым поставлено в зависимость от решения производителя.</w:t>
      </w:r>
    </w:p>
    <w:p>
      <w:pPr>
        <w:pStyle w:val="Style12"/>
        <w:keepNext w:val="0"/>
        <w:keepLines w:val="0"/>
        <w:widowControl w:val="0"/>
        <w:shd w:val="clear" w:color="auto" w:fill="auto"/>
        <w:bidi w:val="0"/>
        <w:spacing w:before="0" w:after="0" w:line="269" w:lineRule="auto"/>
        <w:ind w:left="0" w:right="0" w:firstLine="600"/>
        <w:jc w:val="both"/>
      </w:pPr>
      <w:r>
        <w:rPr>
          <w:rStyle w:val="CharStyle13"/>
        </w:rPr>
        <w:t>Возможность привлечения субподрядчика ограничение не устраняет, поскольку такой субподрядчик также должен получить сертификат производителя. При любом из предусмотренных техническим заданием способов исполнения требуется согласие одного и того же третьего лица. Предоставление документа после заключения контракта не меняет характера ограничения: обязательность его получения участник должен учитывать при решении об участии и формировании цены заявки.</w:t>
      </w:r>
    </w:p>
    <w:p>
      <w:pPr>
        <w:pStyle w:val="Style12"/>
        <w:keepNext w:val="0"/>
        <w:keepLines w:val="0"/>
        <w:widowControl w:val="0"/>
        <w:shd w:val="clear" w:color="auto" w:fill="auto"/>
        <w:bidi w:val="0"/>
        <w:spacing w:before="0" w:after="0" w:line="269" w:lineRule="auto"/>
        <w:ind w:left="0" w:right="0" w:firstLine="580"/>
        <w:jc w:val="both"/>
      </w:pPr>
      <w:r>
        <w:rPr>
          <w:rStyle w:val="CharStyle13"/>
        </w:rPr>
        <w:t>Комиссия отмечает, что оборудование автоматических постов весогабаритного контроля, в отношении которого будет осуществляться замена, не подлежит дальнейшей эксплуатации, при этом, соответственно, подрядчик ставится в зависимое положение от производителя указанного оборудования.</w:t>
      </w:r>
    </w:p>
    <w:p>
      <w:pPr>
        <w:pStyle w:val="Style12"/>
        <w:keepNext w:val="0"/>
        <w:keepLines w:val="0"/>
        <w:widowControl w:val="0"/>
        <w:shd w:val="clear" w:color="auto" w:fill="auto"/>
        <w:bidi w:val="0"/>
        <w:spacing w:before="0" w:after="0" w:line="269" w:lineRule="auto"/>
        <w:ind w:left="0" w:right="0" w:firstLine="580"/>
        <w:jc w:val="both"/>
      </w:pPr>
      <w:r>
        <w:rPr>
          <w:rStyle w:val="CharStyle13"/>
        </w:rPr>
        <w:t xml:space="preserve">Таким образом, Заказчиком установлено не предусмотренное законом требование к подрядчику и его персоналу, ограничивающее количество участников закупки, в нарушение 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w:t>
      </w:r>
    </w:p>
    <w:p>
      <w:pPr>
        <w:pStyle w:val="Style12"/>
        <w:keepNext w:val="0"/>
        <w:keepLines w:val="0"/>
        <w:widowControl w:val="0"/>
        <w:shd w:val="clear" w:color="auto" w:fill="auto"/>
        <w:bidi w:val="0"/>
        <w:spacing w:before="0" w:after="0" w:line="269" w:lineRule="auto"/>
        <w:ind w:left="0" w:right="0" w:firstLine="580"/>
        <w:jc w:val="both"/>
      </w:pPr>
      <w:r>
        <w:rPr>
          <w:rStyle w:val="CharStyle13"/>
        </w:rPr>
        <w:t>Следовательно, довод признается обоснованным.</w:t>
      </w:r>
    </w:p>
    <w:p>
      <w:pPr>
        <w:pStyle w:val="Style12"/>
        <w:keepNext w:val="0"/>
        <w:keepLines w:val="0"/>
        <w:widowControl w:val="0"/>
        <w:numPr>
          <w:ilvl w:val="0"/>
          <w:numId w:val="7"/>
        </w:numPr>
        <w:shd w:val="clear" w:color="auto" w:fill="auto"/>
        <w:tabs>
          <w:tab w:pos="1085" w:val="left"/>
        </w:tabs>
        <w:bidi w:val="0"/>
        <w:spacing w:before="0" w:after="0" w:line="269" w:lineRule="auto"/>
        <w:ind w:left="0" w:right="0" w:firstLine="580"/>
        <w:jc w:val="both"/>
      </w:pPr>
      <w:r>
        <w:rPr>
          <w:rStyle w:val="CharStyle13"/>
          <w:i/>
          <w:iCs/>
        </w:rPr>
        <w:t>Согласно третьему доводу жалобы</w:t>
      </w:r>
      <w:r>
        <w:rPr>
          <w:rStyle w:val="CharStyle13"/>
        </w:rPr>
        <w:t xml:space="preserve"> при установлении требований к участникам закупки Заказчиком не учтен предусмотренный техническим заданием объем дорожных работ.</w:t>
      </w:r>
    </w:p>
    <w:p>
      <w:pPr>
        <w:pStyle w:val="Style12"/>
        <w:keepNext w:val="0"/>
        <w:keepLines w:val="0"/>
        <w:widowControl w:val="0"/>
        <w:shd w:val="clear" w:color="auto" w:fill="auto"/>
        <w:bidi w:val="0"/>
        <w:spacing w:before="0" w:after="0" w:line="269" w:lineRule="auto"/>
        <w:ind w:left="0" w:right="0" w:firstLine="580"/>
        <w:jc w:val="both"/>
      </w:pPr>
      <w:r>
        <w:rPr>
          <w:rStyle w:val="CharStyle13"/>
        </w:rPr>
        <w:t xml:space="preserve">Заказчиком проводится электронный аукцион на оказание услуг. В извещении об осуществлении закупки указан код ОКПД2 </w:t>
      </w:r>
      <w:r>
        <w:rPr>
          <w:rStyle w:val="CharStyle13"/>
          <w:lang w:val="en-US" w:eastAsia="en-US"/>
        </w:rPr>
        <w:t xml:space="preserve">33.12.29.900 </w:t>
      </w:r>
      <w:r>
        <w:rPr>
          <w:rStyle w:val="CharStyle13"/>
        </w:rPr>
        <w:t>«Услуги по ремонту и техническому обслуживанию прочего оборудования специального назначения, не включенные в другие группировки».</w:t>
      </w:r>
    </w:p>
    <w:p>
      <w:pPr>
        <w:pStyle w:val="Style12"/>
        <w:keepNext w:val="0"/>
        <w:keepLines w:val="0"/>
        <w:widowControl w:val="0"/>
        <w:shd w:val="clear" w:color="auto" w:fill="auto"/>
        <w:bidi w:val="0"/>
        <w:spacing w:before="0" w:after="0" w:line="269" w:lineRule="auto"/>
        <w:ind w:left="0" w:right="0" w:firstLine="580"/>
        <w:jc w:val="both"/>
      </w:pPr>
      <w:r>
        <w:rPr>
          <w:rStyle w:val="CharStyle13"/>
        </w:rPr>
        <w:t xml:space="preserve">Согласно Приложению </w:t>
      </w:r>
      <w:r>
        <w:rPr>
          <w:rStyle w:val="CharStyle13"/>
          <w:lang w:val="en-US" w:eastAsia="en-US"/>
        </w:rPr>
        <w:t xml:space="preserve">№ 1 </w:t>
      </w:r>
      <w:r>
        <w:rPr>
          <w:rStyle w:val="CharStyle13"/>
        </w:rPr>
        <w:t xml:space="preserve">к Техническому заданию (ТЗ), объектом работ является участок автомобильной дороги Работки </w:t>
      </w:r>
      <w:r>
        <w:rPr>
          <w:rStyle w:val="CharStyle13"/>
          <w:lang w:val="en-US" w:eastAsia="en-US"/>
        </w:rPr>
        <w:t xml:space="preserve">— </w:t>
      </w:r>
      <w:r>
        <w:rPr>
          <w:rStyle w:val="CharStyle13"/>
        </w:rPr>
        <w:t xml:space="preserve">Порецкое, км </w:t>
      </w:r>
      <w:r>
        <w:rPr>
          <w:rStyle w:val="CharStyle13"/>
          <w:lang w:val="en-US" w:eastAsia="en-US"/>
        </w:rPr>
        <w:t>93+124.</w:t>
      </w:r>
    </w:p>
    <w:p>
      <w:pPr>
        <w:pStyle w:val="Style12"/>
        <w:keepNext w:val="0"/>
        <w:keepLines w:val="0"/>
        <w:widowControl w:val="0"/>
        <w:shd w:val="clear" w:color="auto" w:fill="auto"/>
        <w:bidi w:val="0"/>
        <w:spacing w:before="0" w:after="0" w:line="269" w:lineRule="auto"/>
        <w:ind w:left="0" w:right="0" w:firstLine="580"/>
        <w:jc w:val="both"/>
      </w:pPr>
      <w:r>
        <w:rPr>
          <w:rStyle w:val="CharStyle13"/>
        </w:rPr>
        <w:t xml:space="preserve">Комиссия Нижегородского УФАС России установила, что фактически выполняемые работы представляют собой комплекс строительно-монтажных работ, затрагивающих конструктивные элементы автомобильной дороги (земляное полотно, основание, покрытие). Указанные работы по своей сути относятся к капитальному ремонту или реконструкции автомобильной дороги. Выбранный Заказчиком ОКПД2 </w:t>
      </w:r>
      <w:r>
        <w:rPr>
          <w:rStyle w:val="CharStyle13"/>
          <w:lang w:val="en-US" w:eastAsia="en-US"/>
        </w:rPr>
        <w:t xml:space="preserve">33.12.29.900 </w:t>
      </w:r>
      <w:r>
        <w:rPr>
          <w:rStyle w:val="CharStyle13"/>
        </w:rPr>
        <w:t>относится услугам по ремонту и техническому обслуживанию прочего оборудования специального назначения, не включённые в другие группировки. Попытка Заказчика обосновать данный код тем, что работы проводятся в зоне установки комплексов весогабаритного контроля, признана несостоятельной, так как объем и характер работ не сводятся к обслуживанию или ремонту приборов, а изменяют параметры самой автомобильной дороги.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Приказом Минтранса России от </w:t>
      </w:r>
      <w:r>
        <w:rPr>
          <w:rStyle w:val="CharStyle13"/>
          <w:lang w:val="en-US" w:eastAsia="en-US"/>
        </w:rPr>
        <w:t xml:space="preserve">16.11.2012 N 402 </w:t>
      </w:r>
      <w:r>
        <w:rPr>
          <w:rStyle w:val="CharStyle13"/>
        </w:rPr>
        <w:t>утверждена Классификации работ по капитальному ремонту, ремонту и содержанию автомобильных дорог.</w:t>
      </w:r>
    </w:p>
    <w:p>
      <w:pPr>
        <w:pStyle w:val="Style12"/>
        <w:keepNext w:val="0"/>
        <w:keepLines w:val="0"/>
        <w:widowControl w:val="0"/>
        <w:shd w:val="clear" w:color="auto" w:fill="auto"/>
        <w:bidi w:val="0"/>
        <w:spacing w:before="0" w:after="0" w:line="240" w:lineRule="auto"/>
        <w:ind w:left="0" w:right="0" w:firstLine="580"/>
        <w:jc w:val="both"/>
      </w:pPr>
      <w:r>
        <w:rPr>
          <w:rStyle w:val="CharStyle13"/>
        </w:rPr>
        <w:t>Классификация устанавливает состав и виды работ, выполняемых при капитальном ремонте, ремонте и содержании автомобильных дорог, и предназначена для использования при планировании объемов дорожных работ, в том числе при их проектировании и формировании программ дорожных работ на краткосрочный и среднесрочный периоды.</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Согласно п. </w:t>
      </w:r>
      <w:r>
        <w:rPr>
          <w:rStyle w:val="CharStyle13"/>
          <w:lang w:val="en-US" w:eastAsia="en-US"/>
        </w:rPr>
        <w:t xml:space="preserve">2.1 </w:t>
      </w:r>
      <w:r>
        <w:rPr>
          <w:rStyle w:val="CharStyle13"/>
        </w:rPr>
        <w:t xml:space="preserve">Приказа Минтранса России от </w:t>
      </w:r>
      <w:r>
        <w:rPr>
          <w:rStyle w:val="CharStyle13"/>
          <w:lang w:val="en-US" w:eastAsia="en-US"/>
        </w:rPr>
        <w:t xml:space="preserve">16.11.2012 N 402 </w:t>
      </w:r>
      <w:r>
        <w:rPr>
          <w:rStyle w:val="CharStyle13"/>
        </w:rPr>
        <w:t>при проведении капитального ремонта участка автомобильной дороги и (или) дорожных сооружений могут выполняться отдельные работы по ремонту и содержанию элементов автомобильной дороги и (или) дорожных сооружений, состояние которых не требует капитального ремонта, если указанные работы необходимы для приведения ремонтируемого участка в надлежащее техническое состояние.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соответствии с пп. д пп. </w:t>
      </w:r>
      <w:r>
        <w:rPr>
          <w:rStyle w:val="CharStyle13"/>
          <w:lang w:val="en-US" w:eastAsia="en-US"/>
        </w:rPr>
        <w:t xml:space="preserve">4 </w:t>
      </w:r>
      <w:r>
        <w:rPr>
          <w:rStyle w:val="CharStyle13"/>
        </w:rPr>
        <w:t xml:space="preserve">п. </w:t>
      </w:r>
      <w:r>
        <w:rPr>
          <w:rStyle w:val="CharStyle13"/>
          <w:lang w:val="en-US" w:eastAsia="en-US"/>
        </w:rPr>
        <w:t xml:space="preserve">3 </w:t>
      </w:r>
      <w:r>
        <w:rPr>
          <w:rStyle w:val="CharStyle13"/>
        </w:rPr>
        <w:t xml:space="preserve">Приказа Минтранса России от </w:t>
      </w:r>
      <w:r>
        <w:rPr>
          <w:rStyle w:val="CharStyle13"/>
          <w:lang w:val="en-US" w:eastAsia="en-US"/>
        </w:rPr>
        <w:t xml:space="preserve">16.11.2012 N 402 </w:t>
      </w:r>
      <w:r>
        <w:rPr>
          <w:rStyle w:val="CharStyle13"/>
        </w:rPr>
        <w:t xml:space="preserve">при капитальном ремонте проводятся следующие работы по элементам обустройства автомобильных дорог: устройство и замена специальных технических средств, имеющих функции фото- и киносъемки, видеозаписи для фиксации нарушений правил дорожного 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w:t>
      </w:r>
      <w:r>
        <w:rPr>
          <w:rStyle w:val="CharStyle13"/>
          <w:lang w:val="en-US" w:eastAsia="en-US"/>
        </w:rPr>
        <w:t xml:space="preserve">12 </w:t>
      </w:r>
      <w:r>
        <w:rPr>
          <w:rStyle w:val="CharStyle13"/>
        </w:rPr>
        <w:t>тонн,</w:t>
      </w:r>
    </w:p>
    <w:p>
      <w:pPr>
        <w:pStyle w:val="Style12"/>
        <w:keepNext w:val="0"/>
        <w:keepLines w:val="0"/>
        <w:widowControl w:val="0"/>
        <w:shd w:val="clear" w:color="auto" w:fill="auto"/>
        <w:bidi w:val="0"/>
        <w:spacing w:before="0" w:after="0" w:line="240" w:lineRule="auto"/>
        <w:ind w:left="0" w:right="0" w:firstLine="0"/>
        <w:jc w:val="both"/>
      </w:pPr>
      <w:r>
        <w:rPr>
          <w:rStyle w:val="CharStyle13"/>
        </w:rPr>
        <w:t>пунктов весового и габаритного контроля транспортных средств, а также их отдельных элементов.</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Подпункт </w:t>
      </w:r>
      <w:r>
        <w:rPr>
          <w:rStyle w:val="CharStyle13"/>
          <w:lang w:val="en-US" w:eastAsia="en-US"/>
        </w:rPr>
        <w:t xml:space="preserve">1 </w:t>
      </w:r>
      <w:r>
        <w:rPr>
          <w:rStyle w:val="CharStyle13"/>
        </w:rPr>
        <w:t xml:space="preserve">пункта </w:t>
      </w:r>
      <w:r>
        <w:rPr>
          <w:rStyle w:val="CharStyle13"/>
          <w:lang w:val="en-US" w:eastAsia="en-US"/>
        </w:rPr>
        <w:t xml:space="preserve">10 </w:t>
      </w:r>
      <w:r>
        <w:rPr>
          <w:rStyle w:val="CharStyle13"/>
        </w:rPr>
        <w:t xml:space="preserve">раздела </w:t>
      </w:r>
      <w:r>
        <w:rPr>
          <w:rStyle w:val="CharStyle13"/>
          <w:lang w:val="en-US" w:eastAsia="en-US"/>
        </w:rPr>
        <w:t xml:space="preserve">IV </w:t>
      </w:r>
      <w:r>
        <w:rPr>
          <w:rStyle w:val="CharStyle13"/>
        </w:rPr>
        <w:t>Классификации предусматривает, что в состав мероприятий по содержанию входят работы по установке элементов весового и габаритного контроля транспортных средств.</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Классификация, утвержденная Приказом Минтранса России от </w:t>
      </w:r>
      <w:r>
        <w:rPr>
          <w:rStyle w:val="CharStyle13"/>
          <w:lang w:val="en-US" w:eastAsia="en-US"/>
        </w:rPr>
        <w:t xml:space="preserve">16.11.2012 N 402, </w:t>
      </w:r>
      <w:r>
        <w:rPr>
          <w:rStyle w:val="CharStyle13"/>
        </w:rPr>
        <w:t xml:space="preserve">положения ГОСТ Р </w:t>
      </w:r>
      <w:r>
        <w:rPr>
          <w:rStyle w:val="CharStyle13"/>
          <w:lang w:val="en-US" w:eastAsia="en-US"/>
        </w:rPr>
        <w:t xml:space="preserve">59201-2021 </w:t>
      </w:r>
      <w:r>
        <w:rPr>
          <w:rStyle w:val="CharStyle13"/>
        </w:rPr>
        <w:t>прямо и однозначно относят данный вид работ (устройство пунктов весового и габаритного контроля транспортных средств) к капитальному ремонту.</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Согласно п. </w:t>
      </w:r>
      <w:r>
        <w:rPr>
          <w:rStyle w:val="CharStyle13"/>
          <w:lang w:val="en-US" w:eastAsia="en-US"/>
        </w:rPr>
        <w:t xml:space="preserve">1 </w:t>
      </w:r>
      <w:r>
        <w:rPr>
          <w:rStyle w:val="CharStyle13"/>
        </w:rPr>
        <w:t xml:space="preserve">ч. </w:t>
      </w:r>
      <w:r>
        <w:rPr>
          <w:rStyle w:val="CharStyle13"/>
          <w:lang w:val="en-US" w:eastAsia="en-US"/>
        </w:rPr>
        <w:t xml:space="preserve">1 </w:t>
      </w:r>
      <w:r>
        <w:rPr>
          <w:rStyle w:val="CharStyle13"/>
        </w:rPr>
        <w:t xml:space="preserve">статьи </w:t>
      </w:r>
      <w:r>
        <w:rPr>
          <w:rStyle w:val="CharStyle13"/>
          <w:lang w:val="en-US" w:eastAsia="en-US"/>
        </w:rPr>
        <w:t xml:space="preserve">31 </w:t>
      </w:r>
      <w:r>
        <w:rPr>
          <w:rStyle w:val="CharStyle13"/>
        </w:rPr>
        <w:t xml:space="preserve">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w:t>
      </w:r>
      <w:r>
        <w:rPr>
          <w:rStyle w:val="CharStyle13"/>
          <w:lang w:val="en-US" w:eastAsia="en-US"/>
        </w:rPr>
        <w:t xml:space="preserve">4, 5, 18, 30, 42, 49, 54 </w:t>
      </w:r>
      <w:r>
        <w:rPr>
          <w:rStyle w:val="CharStyle13"/>
        </w:rPr>
        <w:t xml:space="preserve">и </w:t>
      </w:r>
      <w:r>
        <w:rPr>
          <w:rStyle w:val="CharStyle13"/>
          <w:lang w:val="en-US" w:eastAsia="en-US"/>
        </w:rPr>
        <w:t xml:space="preserve">59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93 </w:t>
      </w:r>
      <w:r>
        <w:rPr>
          <w:rStyle w:val="CharStyle13"/>
        </w:rPr>
        <w:t>настоящего Федерального закона,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Частью </w:t>
      </w:r>
      <w:r>
        <w:rPr>
          <w:rStyle w:val="CharStyle13"/>
          <w:lang w:val="en-US" w:eastAsia="en-US"/>
        </w:rPr>
        <w:t xml:space="preserve">4 </w:t>
      </w:r>
      <w:r>
        <w:rPr>
          <w:rStyle w:val="CharStyle13"/>
        </w:rPr>
        <w:t xml:space="preserve">ст. </w:t>
      </w:r>
      <w:r>
        <w:rPr>
          <w:rStyle w:val="CharStyle13"/>
          <w:lang w:val="en-US" w:eastAsia="en-US"/>
        </w:rPr>
        <w:t xml:space="preserve">31 </w:t>
      </w:r>
      <w:r>
        <w:rPr>
          <w:rStyle w:val="CharStyle13"/>
        </w:rPr>
        <w:t xml:space="preserve">Закона о контрактной системе предусмотрено, что в случае установления Правительством Российской Федерации в соответствии с частями </w:t>
      </w:r>
      <w:r>
        <w:rPr>
          <w:rStyle w:val="CharStyle13"/>
          <w:lang w:val="en-US" w:eastAsia="en-US"/>
        </w:rPr>
        <w:t xml:space="preserve">2 </w:t>
      </w:r>
      <w:r>
        <w:rPr>
          <w:rStyle w:val="CharStyle13"/>
        </w:rPr>
        <w:t xml:space="preserve">и </w:t>
      </w:r>
      <w:r>
        <w:rPr>
          <w:rStyle w:val="CharStyle13"/>
          <w:lang w:val="en-US" w:eastAsia="en-US"/>
        </w:rPr>
        <w:t xml:space="preserve">2.1 </w:t>
      </w:r>
      <w:r>
        <w:rPr>
          <w:rStyle w:val="CharStyle13"/>
        </w:rPr>
        <w:t>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В силу ч. </w:t>
      </w:r>
      <w:r>
        <w:rPr>
          <w:rStyle w:val="CharStyle13"/>
          <w:lang w:val="en-US" w:eastAsia="en-US"/>
        </w:rPr>
        <w:t xml:space="preserve">6 </w:t>
      </w:r>
      <w:r>
        <w:rPr>
          <w:rStyle w:val="CharStyle13"/>
        </w:rPr>
        <w:t xml:space="preserve">ст. </w:t>
      </w:r>
      <w:r>
        <w:rPr>
          <w:rStyle w:val="CharStyle13"/>
          <w:lang w:val="en-US" w:eastAsia="en-US"/>
        </w:rPr>
        <w:t xml:space="preserve">31 </w:t>
      </w:r>
      <w:r>
        <w:rPr>
          <w:rStyle w:val="CharStyle13"/>
        </w:rPr>
        <w:t>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Частью </w:t>
      </w:r>
      <w:r>
        <w:rPr>
          <w:rStyle w:val="CharStyle13"/>
          <w:lang w:val="en-US" w:eastAsia="en-US"/>
        </w:rPr>
        <w:t xml:space="preserve">2 </w:t>
      </w:r>
      <w:r>
        <w:rPr>
          <w:rStyle w:val="CharStyle13"/>
        </w:rPr>
        <w:t xml:space="preserve">статьи </w:t>
      </w:r>
      <w:r>
        <w:rPr>
          <w:rStyle w:val="CharStyle13"/>
          <w:lang w:val="en-US" w:eastAsia="en-US"/>
        </w:rPr>
        <w:t xml:space="preserve">52 </w:t>
      </w:r>
      <w:r>
        <w:rPr>
          <w:rStyle w:val="CharStyle13"/>
        </w:rPr>
        <w:t xml:space="preserve">ГрК РФ установлено, что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w:t>
      </w:r>
      <w:r>
        <w:rPr>
          <w:rStyle w:val="CharStyle13"/>
          <w:lang w:val="en-US" w:eastAsia="en-US"/>
        </w:rPr>
        <w:t xml:space="preserve">- </w:t>
      </w:r>
      <w:r>
        <w:rPr>
          <w:rStyle w:val="CharStyle13"/>
        </w:rPr>
        <w:t>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В соответствии с ч. </w:t>
      </w:r>
      <w:r>
        <w:rPr>
          <w:rStyle w:val="CharStyle13"/>
          <w:lang w:val="en-US" w:eastAsia="en-US"/>
        </w:rPr>
        <w:t xml:space="preserve">2.1 </w:t>
      </w:r>
      <w:r>
        <w:rPr>
          <w:rStyle w:val="CharStyle13"/>
        </w:rPr>
        <w:t xml:space="preserve">ст. </w:t>
      </w:r>
      <w:r>
        <w:rPr>
          <w:rStyle w:val="CharStyle13"/>
          <w:lang w:val="en-US" w:eastAsia="en-US"/>
        </w:rPr>
        <w:t xml:space="preserve">52 </w:t>
      </w:r>
      <w:r>
        <w:rPr>
          <w:rStyle w:val="CharStyle13"/>
        </w:rPr>
        <w:t>ГрК РФ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Начальная (максимальная) цена контракта, согласно извещению об осуществлении закупки, составляет </w:t>
      </w:r>
      <w:r>
        <w:rPr>
          <w:rStyle w:val="CharStyle13"/>
          <w:lang w:val="en-US" w:eastAsia="en-US"/>
        </w:rPr>
        <w:t xml:space="preserve">46 637 972,85 </w:t>
      </w:r>
      <w:r>
        <w:rPr>
          <w:rStyle w:val="CharStyle13"/>
        </w:rPr>
        <w:t>рублей. Таким образом, для выполнения работ по капитальному ремонту автомобильных дорог необходимо наличие выписки из реестра членов саморегулируемой организации.</w:t>
      </w:r>
    </w:p>
    <w:p>
      <w:pPr>
        <w:pStyle w:val="Style12"/>
        <w:keepNext w:val="0"/>
        <w:keepLines w:val="0"/>
        <w:widowControl w:val="0"/>
        <w:shd w:val="clear" w:color="auto" w:fill="auto"/>
        <w:bidi w:val="0"/>
        <w:spacing w:before="0" w:after="0" w:line="240" w:lineRule="auto"/>
        <w:ind w:left="0" w:right="0" w:firstLine="560"/>
        <w:jc w:val="both"/>
      </w:pPr>
      <w:r>
        <w:rPr>
          <w:rStyle w:val="CharStyle13"/>
        </w:rPr>
        <w:t>В то же время, как подтверждается материалами дела, заказчиком в нарушение</w:t>
      </w:r>
      <w:r>
        <w:br w:type="page"/>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требований ч. </w:t>
      </w:r>
      <w:r>
        <w:rPr>
          <w:rStyle w:val="CharStyle13"/>
          <w:lang w:val="en-US" w:eastAsia="en-US"/>
        </w:rPr>
        <w:t xml:space="preserve">3 </w:t>
      </w:r>
      <w:r>
        <w:rPr>
          <w:rStyle w:val="CharStyle13"/>
        </w:rPr>
        <w:t xml:space="preserve">ст. </w:t>
      </w:r>
      <w:r>
        <w:rPr>
          <w:rStyle w:val="CharStyle13"/>
          <w:lang w:val="en-US" w:eastAsia="en-US"/>
        </w:rPr>
        <w:t xml:space="preserve">7, </w:t>
      </w:r>
      <w:r>
        <w:rPr>
          <w:rStyle w:val="CharStyle13"/>
        </w:rPr>
        <w:t xml:space="preserve">п. </w:t>
      </w:r>
      <w:r>
        <w:rPr>
          <w:rStyle w:val="CharStyle13"/>
          <w:lang w:val="en-US" w:eastAsia="en-US"/>
        </w:rPr>
        <w:t xml:space="preserve">1 </w:t>
      </w:r>
      <w:r>
        <w:rPr>
          <w:rStyle w:val="CharStyle13"/>
        </w:rPr>
        <w:t xml:space="preserve">ч. </w:t>
      </w:r>
      <w:r>
        <w:rPr>
          <w:rStyle w:val="CharStyle13"/>
          <w:lang w:val="en-US" w:eastAsia="en-US"/>
        </w:rPr>
        <w:t xml:space="preserve">1 </w:t>
      </w:r>
      <w:r>
        <w:rPr>
          <w:rStyle w:val="CharStyle13"/>
        </w:rPr>
        <w:t xml:space="preserve">ст. </w:t>
      </w:r>
      <w:r>
        <w:rPr>
          <w:rStyle w:val="CharStyle13"/>
          <w:lang w:val="en-US" w:eastAsia="en-US"/>
        </w:rPr>
        <w:t xml:space="preserve">31 </w:t>
      </w:r>
      <w:r>
        <w:rPr>
          <w:rStyle w:val="CharStyle13"/>
        </w:rPr>
        <w:t>Закона о контрактной системе в извещении об осуществлении закупки не установлено требование к участникам закупки о наличии выписки</w:t>
      </w:r>
    </w:p>
    <w:p>
      <w:pPr>
        <w:pStyle w:val="Style12"/>
        <w:keepNext w:val="0"/>
        <w:keepLines w:val="0"/>
        <w:widowControl w:val="0"/>
        <w:shd w:val="clear" w:color="auto" w:fill="auto"/>
        <w:bidi w:val="0"/>
        <w:spacing w:before="0" w:after="0" w:line="240" w:lineRule="auto"/>
        <w:ind w:left="0" w:right="0" w:firstLine="0"/>
        <w:jc w:val="both"/>
      </w:pPr>
      <w:r>
        <w:rPr>
          <w:rStyle w:val="CharStyle13"/>
        </w:rPr>
        <w:t>из реестра членов саморегулируемой организации подтверждающей, что участник закупки является членом саморегулируемой организации в области строительства, реконструкции, капитального ремонта объектов капитального строительства.</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Постановлением Правительства Российской Федерации от </w:t>
      </w:r>
      <w:r>
        <w:rPr>
          <w:rStyle w:val="CharStyle13"/>
          <w:lang w:val="en-US" w:eastAsia="en-US"/>
        </w:rPr>
        <w:t xml:space="preserve">29 </w:t>
      </w:r>
      <w:r>
        <w:rPr>
          <w:rStyle w:val="CharStyle13"/>
        </w:rPr>
        <w:t xml:space="preserve">декабря </w:t>
      </w:r>
      <w:r>
        <w:rPr>
          <w:rStyle w:val="CharStyle13"/>
          <w:lang w:val="en-US" w:eastAsia="en-US"/>
        </w:rPr>
        <w:t xml:space="preserve">2021 </w:t>
      </w:r>
      <w:r>
        <w:rPr>
          <w:rStyle w:val="CharStyle13"/>
        </w:rPr>
        <w:t xml:space="preserve">г. </w:t>
      </w:r>
      <w:r>
        <w:rPr>
          <w:rStyle w:val="CharStyle13"/>
          <w:lang w:val="en-US" w:eastAsia="en-US"/>
        </w:rPr>
        <w:t xml:space="preserve">N 2571 </w:t>
      </w:r>
      <w:r>
        <w:rPr>
          <w:rStyle w:val="CharStyle13"/>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и признании утратившими силу некоторых актов и отдельных положений актов Правительства Российской Федерации" (далее </w:t>
      </w:r>
      <w:r>
        <w:rPr>
          <w:rStyle w:val="CharStyle13"/>
          <w:lang w:val="en-US" w:eastAsia="en-US"/>
        </w:rPr>
        <w:t xml:space="preserve">- </w:t>
      </w:r>
      <w:r>
        <w:rPr>
          <w:rStyle w:val="CharStyle13"/>
        </w:rPr>
        <w:t xml:space="preserve">Постановление Правительства </w:t>
      </w:r>
      <w:r>
        <w:rPr>
          <w:rStyle w:val="CharStyle13"/>
          <w:lang w:val="en-US" w:eastAsia="en-US"/>
        </w:rPr>
        <w:t xml:space="preserve">N 2571) </w:t>
      </w:r>
      <w:r>
        <w:rPr>
          <w:rStyle w:val="CharStyle13"/>
        </w:rPr>
        <w:t>установлены дополнительные требования к участникам закупки в соответствии с Законом о контрактной системе, а также определен исчерпывающий перечень возможных дополнительных требований и перечень документов, которые подтверждают соответствие участников закупок таким требованиям.</w:t>
      </w:r>
    </w:p>
    <w:p>
      <w:pPr>
        <w:pStyle w:val="Style12"/>
        <w:keepNext w:val="0"/>
        <w:keepLines w:val="0"/>
        <w:widowControl w:val="0"/>
        <w:shd w:val="clear" w:color="auto" w:fill="auto"/>
        <w:bidi w:val="0"/>
        <w:spacing w:before="0" w:after="0" w:line="240" w:lineRule="auto"/>
        <w:ind w:left="0" w:right="0" w:firstLine="560"/>
        <w:jc w:val="both"/>
      </w:pPr>
      <w:r>
        <w:rPr>
          <w:rStyle w:val="CharStyle13"/>
        </w:rPr>
        <w:t>С учетом размера начальной (максимальной) цены контракта, в соответствии</w:t>
      </w:r>
    </w:p>
    <w:p>
      <w:pPr>
        <w:widowControl w:val="0"/>
        <w:spacing w:line="1" w:lineRule="exact"/>
        <w:sectPr>
          <w:footnotePr>
            <w:pos w:val="pageBottom"/>
            <w:numFmt w:val="decimal"/>
            <w:numRestart w:val="continuous"/>
          </w:footnotePr>
          <w:type w:val="continuous"/>
          <w:pgSz w:w="11900" w:h="16840"/>
          <w:pgMar w:top="1555" w:right="539" w:bottom="1643" w:left="1099" w:header="0" w:footer="3" w:gutter="0"/>
          <w:cols w:space="720"/>
          <w:noEndnote/>
          <w:rtlGutter w:val="0"/>
          <w:docGrid w:linePitch="360"/>
        </w:sectPr>
      </w:pPr>
      <w:r>
        <mc:AlternateContent>
          <mc:Choice Requires="wps">
            <w:drawing>
              <wp:anchor distT="0" distB="146050" distL="0" distR="0" simplePos="0" relativeHeight="125829380" behindDoc="0" locked="0" layoutInCell="1" allowOverlap="1">
                <wp:simplePos x="0" y="0"/>
                <wp:positionH relativeFrom="page">
                  <wp:posOffset>704215</wp:posOffset>
                </wp:positionH>
                <wp:positionV relativeFrom="paragraph">
                  <wp:posOffset>0</wp:posOffset>
                </wp:positionV>
                <wp:extent cx="3017520" cy="216535"/>
                <wp:wrapTopAndBottom/>
                <wp:docPr id="11" name="Shape 11"/>
                <a:graphic xmlns:a="http://schemas.openxmlformats.org/drawingml/2006/main">
                  <a:graphicData uri="http://schemas.microsoft.com/office/word/2010/wordprocessingShape">
                    <wps:wsp>
                      <wps:cNvSpPr txBox="1"/>
                      <wps:spPr>
                        <a:xfrm>
                          <a:ext cx="301752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 xml:space="preserve">Постановления Правительства </w:t>
                            </w:r>
                            <w:r>
                              <w:rPr>
                                <w:rStyle w:val="CharStyle13"/>
                                <w:lang w:val="en-US" w:eastAsia="en-US"/>
                              </w:rPr>
                              <w:t>N 2571</w:t>
                            </w:r>
                          </w:p>
                        </w:txbxContent>
                      </wps:txbx>
                      <wps:bodyPr wrap="none" lIns="0" tIns="0" rIns="0" bIns="0">
                        <a:noAutoFit/>
                      </wps:bodyPr>
                    </wps:wsp>
                  </a:graphicData>
                </a:graphic>
              </wp:anchor>
            </w:drawing>
          </mc:Choice>
          <mc:Fallback>
            <w:pict>
              <v:shape id="_x0000_s1037" type="#_x0000_t202" style="position:absolute;margin-left:55.450000000000003pt;margin-top:0;width:237.59999999999999pt;height:17.050000000000001pt;z-index:-125829373;mso-wrap-distance-left:0;mso-wrap-distance-right:0;mso-wrap-distance-bottom:11.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 xml:space="preserve">Постановления Правительства </w:t>
                      </w:r>
                      <w:r>
                        <w:rPr>
                          <w:rStyle w:val="CharStyle13"/>
                          <w:lang w:val="en-US" w:eastAsia="en-US"/>
                        </w:rPr>
                        <w:t>N 2571</w:t>
                      </w:r>
                    </w:p>
                  </w:txbxContent>
                </v:textbox>
                <w10:wrap type="topAndBottom" anchorx="page"/>
              </v:shape>
            </w:pict>
          </mc:Fallback>
        </mc:AlternateContent>
      </w:r>
      <w:r>
        <mc:AlternateContent>
          <mc:Choice Requires="wps">
            <w:drawing>
              <wp:anchor distT="219710" distB="0" distL="0" distR="0" simplePos="0" relativeHeight="125829382" behindDoc="0" locked="0" layoutInCell="1" allowOverlap="1">
                <wp:simplePos x="0" y="0"/>
                <wp:positionH relativeFrom="page">
                  <wp:posOffset>701040</wp:posOffset>
                </wp:positionH>
                <wp:positionV relativeFrom="paragraph">
                  <wp:posOffset>219710</wp:posOffset>
                </wp:positionV>
                <wp:extent cx="1078865" cy="143510"/>
                <wp:wrapTopAndBottom/>
                <wp:docPr id="13" name="Shape 13"/>
                <a:graphic xmlns:a="http://schemas.openxmlformats.org/drawingml/2006/main">
                  <a:graphicData uri="http://schemas.microsoft.com/office/word/2010/wordprocessingShape">
                    <wps:wsp>
                      <wps:cNvSpPr txBox="1"/>
                      <wps:spPr>
                        <a:xfrm>
                          <a:ext cx="1078865" cy="1435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реконструкции</w:t>
                            </w:r>
                          </w:p>
                        </w:txbxContent>
                      </wps:txbx>
                      <wps:bodyPr wrap="none" lIns="0" tIns="0" rIns="0" bIns="0">
                        <a:noAutoFit/>
                      </wps:bodyPr>
                    </wps:wsp>
                  </a:graphicData>
                </a:graphic>
              </wp:anchor>
            </w:drawing>
          </mc:Choice>
          <mc:Fallback>
            <w:pict>
              <v:shape id="_x0000_s1039" type="#_x0000_t202" style="position:absolute;margin-left:55.200000000000003pt;margin-top:17.300000000000001pt;width:84.950000000000003pt;height:11.300000000000001pt;z-index:-125829371;mso-wrap-distance-left:0;mso-wrap-distance-top:17.300000000000001pt;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реконструкции</w:t>
                      </w:r>
                    </w:p>
                  </w:txbxContent>
                </v:textbox>
                <w10:wrap type="topAndBottom" anchorx="page"/>
              </v:shape>
            </w:pict>
          </mc:Fallback>
        </mc:AlternateContent>
      </w:r>
      <w:r>
        <mc:AlternateContent>
          <mc:Choice Requires="wps">
            <w:drawing>
              <wp:anchor distT="219710" distB="0" distL="0" distR="0" simplePos="0" relativeHeight="125829384" behindDoc="0" locked="0" layoutInCell="1" allowOverlap="1">
                <wp:simplePos x="0" y="0"/>
                <wp:positionH relativeFrom="page">
                  <wp:posOffset>2005330</wp:posOffset>
                </wp:positionH>
                <wp:positionV relativeFrom="paragraph">
                  <wp:posOffset>219710</wp:posOffset>
                </wp:positionV>
                <wp:extent cx="978535" cy="143510"/>
                <wp:wrapTopAndBottom/>
                <wp:docPr id="15" name="Shape 15"/>
                <a:graphic xmlns:a="http://schemas.openxmlformats.org/drawingml/2006/main">
                  <a:graphicData uri="http://schemas.microsoft.com/office/word/2010/wordprocessingShape">
                    <wps:wsp>
                      <wps:cNvSpPr txBox="1"/>
                      <wps:spPr>
                        <a:xfrm>
                          <a:ext cx="978535" cy="1435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капитальному</w:t>
                            </w:r>
                          </w:p>
                        </w:txbxContent>
                      </wps:txbx>
                      <wps:bodyPr wrap="none" lIns="0" tIns="0" rIns="0" bIns="0">
                        <a:noAutoFit/>
                      </wps:bodyPr>
                    </wps:wsp>
                  </a:graphicData>
                </a:graphic>
              </wp:anchor>
            </w:drawing>
          </mc:Choice>
          <mc:Fallback>
            <w:pict>
              <v:shape id="_x0000_s1041" type="#_x0000_t202" style="position:absolute;margin-left:157.90000000000001pt;margin-top:17.300000000000001pt;width:77.049999999999997pt;height:11.300000000000001pt;z-index:-125829369;mso-wrap-distance-left:0;mso-wrap-distance-top:17.300000000000001pt;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капитальному</w:t>
                      </w:r>
                    </w:p>
                  </w:txbxContent>
                </v:textbox>
                <w10:wrap type="topAndBottom" anchorx="page"/>
              </v:shape>
            </w:pict>
          </mc:Fallback>
        </mc:AlternateContent>
      </w:r>
      <w:r>
        <mc:AlternateContent>
          <mc:Choice Requires="wps">
            <w:drawing>
              <wp:anchor distT="219710" distB="0" distL="0" distR="0" simplePos="0" relativeHeight="125829386" behindDoc="0" locked="0" layoutInCell="1" allowOverlap="1">
                <wp:simplePos x="0" y="0"/>
                <wp:positionH relativeFrom="page">
                  <wp:posOffset>3200400</wp:posOffset>
                </wp:positionH>
                <wp:positionV relativeFrom="paragraph">
                  <wp:posOffset>219710</wp:posOffset>
                </wp:positionV>
                <wp:extent cx="594360" cy="143510"/>
                <wp:wrapTopAndBottom/>
                <wp:docPr id="17" name="Shape 17"/>
                <a:graphic xmlns:a="http://schemas.openxmlformats.org/drawingml/2006/main">
                  <a:graphicData uri="http://schemas.microsoft.com/office/word/2010/wordprocessingShape">
                    <wps:wsp>
                      <wps:cNvSpPr txBox="1"/>
                      <wps:spPr>
                        <a:xfrm>
                          <a:ext cx="594360" cy="1435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ремонту</w:t>
                            </w:r>
                          </w:p>
                        </w:txbxContent>
                      </wps:txbx>
                      <wps:bodyPr wrap="none" lIns="0" tIns="0" rIns="0" bIns="0">
                        <a:noAutoFit/>
                      </wps:bodyPr>
                    </wps:wsp>
                  </a:graphicData>
                </a:graphic>
              </wp:anchor>
            </w:drawing>
          </mc:Choice>
          <mc:Fallback>
            <w:pict>
              <v:shape id="_x0000_s1043" type="#_x0000_t202" style="position:absolute;margin-left:252.pt;margin-top:17.300000000000001pt;width:46.800000000000004pt;height:11.300000000000001pt;z-index:-125829367;mso-wrap-distance-left:0;mso-wrap-distance-top:17.300000000000001pt;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ремонту</w:t>
                      </w:r>
                    </w:p>
                  </w:txbxContent>
                </v:textbox>
                <w10:wrap type="topAndBottom" anchorx="page"/>
              </v:shape>
            </w:pict>
          </mc:Fallback>
        </mc:AlternateContent>
      </w:r>
      <w:r>
        <mc:AlternateContent>
          <mc:Choice Requires="wps">
            <w:drawing>
              <wp:anchor distT="0" distB="0" distL="0" distR="0" simplePos="0" relativeHeight="125829388" behindDoc="0" locked="0" layoutInCell="1" allowOverlap="1">
                <wp:simplePos x="0" y="0"/>
                <wp:positionH relativeFrom="page">
                  <wp:posOffset>3870960</wp:posOffset>
                </wp:positionH>
                <wp:positionV relativeFrom="paragraph">
                  <wp:posOffset>0</wp:posOffset>
                </wp:positionV>
                <wp:extent cx="1283335" cy="362585"/>
                <wp:wrapTopAndBottom/>
                <wp:docPr id="19" name="Shape 19"/>
                <a:graphic xmlns:a="http://schemas.openxmlformats.org/drawingml/2006/main">
                  <a:graphicData uri="http://schemas.microsoft.com/office/word/2010/wordprocessingShape">
                    <wps:wsp>
                      <wps:cNvSpPr txBox="1"/>
                      <wps:spPr>
                        <a:xfrm>
                          <a:ext cx="1283335" cy="36258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при выполнении</w:t>
                              <w:br/>
                              <w:t>автомобильной</w:t>
                            </w:r>
                          </w:p>
                        </w:txbxContent>
                      </wps:txbx>
                      <wps:bodyPr lIns="0" tIns="0" rIns="0" bIns="0">
                        <a:noAutoFit/>
                      </wps:bodyPr>
                    </wps:wsp>
                  </a:graphicData>
                </a:graphic>
              </wp:anchor>
            </w:drawing>
          </mc:Choice>
          <mc:Fallback>
            <w:pict>
              <v:shape id="_x0000_s1045" type="#_x0000_t202" style="position:absolute;margin-left:304.80000000000001pt;margin-top:0;width:101.05pt;height:28.550000000000001pt;z-index:-125829365;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при выполнении</w:t>
                        <w:br/>
                        <w:t>автомобильной</w:t>
                      </w:r>
                    </w:p>
                  </w:txbxContent>
                </v:textbox>
                <w10:wrap type="topAndBottom" anchorx="page"/>
              </v:shape>
            </w:pict>
          </mc:Fallback>
        </mc:AlternateContent>
      </w:r>
      <w:r>
        <mc:AlternateContent>
          <mc:Choice Requires="wps">
            <w:drawing>
              <wp:anchor distT="0" distB="0" distL="0" distR="0" simplePos="0" relativeHeight="125829390" behindDoc="0" locked="0" layoutInCell="1" allowOverlap="1">
                <wp:simplePos x="0" y="0"/>
                <wp:positionH relativeFrom="page">
                  <wp:posOffset>5294630</wp:posOffset>
                </wp:positionH>
                <wp:positionV relativeFrom="paragraph">
                  <wp:posOffset>0</wp:posOffset>
                </wp:positionV>
                <wp:extent cx="1913890" cy="362585"/>
                <wp:wrapTopAndBottom/>
                <wp:docPr id="21" name="Shape 21"/>
                <a:graphic xmlns:a="http://schemas.openxmlformats.org/drawingml/2006/main">
                  <a:graphicData uri="http://schemas.microsoft.com/office/word/2010/wordprocessingShape">
                    <wps:wsp>
                      <wps:cNvSpPr txBox="1"/>
                      <wps:spPr>
                        <a:xfrm>
                          <a:ext cx="1913890" cy="36258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работ по строительству, дороги устанавливаются</w:t>
                            </w:r>
                          </w:p>
                        </w:txbxContent>
                      </wps:txbx>
                      <wps:bodyPr lIns="0" tIns="0" rIns="0" bIns="0">
                        <a:noAutoFit/>
                      </wps:bodyPr>
                    </wps:wsp>
                  </a:graphicData>
                </a:graphic>
              </wp:anchor>
            </w:drawing>
          </mc:Choice>
          <mc:Fallback>
            <w:pict>
              <v:shape id="_x0000_s1047" type="#_x0000_t202" style="position:absolute;margin-left:416.90000000000003pt;margin-top:0;width:150.70000000000002pt;height:28.550000000000001pt;z-index:-125829363;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работ по строительству, дороги устанавливаются</w:t>
                      </w:r>
                    </w:p>
                  </w:txbxContent>
                </v:textbox>
                <w10:wrap type="topAndBottom" anchorx="page"/>
              </v:shape>
            </w:pict>
          </mc:Fallback>
        </mc:AlternateContent>
      </w:r>
    </w:p>
    <w:p>
      <w:pPr>
        <w:pStyle w:val="Style12"/>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50800" distR="50800" simplePos="0" relativeHeight="125829392" behindDoc="0" locked="0" layoutInCell="1" allowOverlap="1">
                <wp:simplePos x="0" y="0"/>
                <wp:positionH relativeFrom="page">
                  <wp:posOffset>5273040</wp:posOffset>
                </wp:positionH>
                <wp:positionV relativeFrom="paragraph">
                  <wp:posOffset>165100</wp:posOffset>
                </wp:positionV>
                <wp:extent cx="1938655" cy="216535"/>
                <wp:wrapSquare wrapText="left"/>
                <wp:docPr id="23" name="Shape 23"/>
                <a:graphic xmlns:a="http://schemas.openxmlformats.org/drawingml/2006/main">
                  <a:graphicData uri="http://schemas.microsoft.com/office/word/2010/wordprocessingShape">
                    <wps:wsp>
                      <wps:cNvSpPr txBox="1"/>
                      <wps:spPr>
                        <a:xfrm>
                          <a:ext cx="1938655"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 xml:space="preserve">ст. </w:t>
                            </w:r>
                            <w:r>
                              <w:rPr>
                                <w:rStyle w:val="CharStyle13"/>
                                <w:lang w:val="en-US" w:eastAsia="en-US"/>
                              </w:rPr>
                              <w:t xml:space="preserve">7, </w:t>
                            </w:r>
                            <w:r>
                              <w:rPr>
                                <w:rStyle w:val="CharStyle13"/>
                              </w:rPr>
                              <w:t xml:space="preserve">ч. </w:t>
                            </w:r>
                            <w:r>
                              <w:rPr>
                                <w:rStyle w:val="CharStyle13"/>
                                <w:lang w:val="en-US" w:eastAsia="en-US"/>
                              </w:rPr>
                              <w:t xml:space="preserve">4 </w:t>
                            </w:r>
                            <w:r>
                              <w:rPr>
                                <w:rStyle w:val="CharStyle13"/>
                              </w:rPr>
                              <w:t xml:space="preserve">ст. </w:t>
                            </w:r>
                            <w:r>
                              <w:rPr>
                                <w:rStyle w:val="CharStyle13"/>
                                <w:lang w:val="en-US" w:eastAsia="en-US"/>
                              </w:rPr>
                              <w:t xml:space="preserve">31 </w:t>
                            </w:r>
                            <w:r>
                              <w:rPr>
                                <w:rStyle w:val="CharStyle13"/>
                              </w:rPr>
                              <w:t>Закона о</w:t>
                            </w:r>
                          </w:p>
                        </w:txbxContent>
                      </wps:txbx>
                      <wps:bodyPr wrap="none" lIns="0" tIns="0" rIns="0" bIns="0">
                        <a:noAutoFit/>
                      </wps:bodyPr>
                    </wps:wsp>
                  </a:graphicData>
                </a:graphic>
              </wp:anchor>
            </w:drawing>
          </mc:Choice>
          <mc:Fallback>
            <w:pict>
              <v:shape id="_x0000_s1049" type="#_x0000_t202" style="position:absolute;margin-left:415.19999999999999pt;margin-top:13.pt;width:152.65000000000001pt;height:17.050000000000001pt;z-index:-125829361;mso-wrap-distance-left:4.pt;mso-wrap-distance-right:4.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 xml:space="preserve">ст. </w:t>
                      </w:r>
                      <w:r>
                        <w:rPr>
                          <w:rStyle w:val="CharStyle13"/>
                          <w:lang w:val="en-US" w:eastAsia="en-US"/>
                        </w:rPr>
                        <w:t xml:space="preserve">7, </w:t>
                      </w:r>
                      <w:r>
                        <w:rPr>
                          <w:rStyle w:val="CharStyle13"/>
                        </w:rPr>
                        <w:t xml:space="preserve">ч. </w:t>
                      </w:r>
                      <w:r>
                        <w:rPr>
                          <w:rStyle w:val="CharStyle13"/>
                          <w:lang w:val="en-US" w:eastAsia="en-US"/>
                        </w:rPr>
                        <w:t xml:space="preserve">4 </w:t>
                      </w:r>
                      <w:r>
                        <w:rPr>
                          <w:rStyle w:val="CharStyle13"/>
                        </w:rPr>
                        <w:t xml:space="preserve">ст. </w:t>
                      </w:r>
                      <w:r>
                        <w:rPr>
                          <w:rStyle w:val="CharStyle13"/>
                          <w:lang w:val="en-US" w:eastAsia="en-US"/>
                        </w:rPr>
                        <w:t xml:space="preserve">31 </w:t>
                      </w:r>
                      <w:r>
                        <w:rPr>
                          <w:rStyle w:val="CharStyle13"/>
                        </w:rPr>
                        <w:t>Закона о</w:t>
                      </w:r>
                    </w:p>
                  </w:txbxContent>
                </v:textbox>
                <w10:wrap type="square" side="left" anchorx="page"/>
              </v:shape>
            </w:pict>
          </mc:Fallback>
        </mc:AlternateContent>
      </w:r>
      <w:r>
        <w:rPr>
          <w:rStyle w:val="CharStyle13"/>
        </w:rPr>
        <w:t>дополнительные требования.</w:t>
      </w:r>
    </w:p>
    <w:p>
      <w:pPr>
        <w:pStyle w:val="Style12"/>
        <w:keepNext w:val="0"/>
        <w:keepLines w:val="0"/>
        <w:widowControl w:val="0"/>
        <w:shd w:val="clear" w:color="auto" w:fill="auto"/>
        <w:bidi w:val="0"/>
        <w:spacing w:before="0" w:after="0" w:line="240" w:lineRule="auto"/>
        <w:ind w:left="0" w:right="0" w:firstLine="560"/>
        <w:jc w:val="both"/>
      </w:pPr>
      <w:r>
        <w:rPr>
          <w:rStyle w:val="CharStyle13"/>
        </w:rPr>
        <w:t xml:space="preserve">В то же время, заказчиком в нарушение требований ч. </w:t>
      </w:r>
      <w:r>
        <w:rPr>
          <w:rStyle w:val="CharStyle13"/>
          <w:lang w:val="en-US" w:eastAsia="en-US"/>
        </w:rPr>
        <w:t>3</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контрактной системе в извещении об осуществлении закупки не установлено дополнительное требование к участникам закупки, в соответствии с позицией </w:t>
      </w:r>
      <w:r>
        <w:rPr>
          <w:rStyle w:val="CharStyle13"/>
          <w:lang w:val="en-US" w:eastAsia="en-US"/>
        </w:rPr>
        <w:t xml:space="preserve">17 </w:t>
      </w:r>
      <w:r>
        <w:rPr>
          <w:rStyle w:val="CharStyle13"/>
        </w:rPr>
        <w:t xml:space="preserve">Постановления Правительства </w:t>
      </w:r>
      <w:r>
        <w:rPr>
          <w:rStyle w:val="CharStyle13"/>
          <w:lang w:val="en-US" w:eastAsia="en-US"/>
        </w:rPr>
        <w:t>N 2571.</w:t>
      </w:r>
    </w:p>
    <w:p>
      <w:pPr>
        <w:pStyle w:val="Style12"/>
        <w:keepNext w:val="0"/>
        <w:keepLines w:val="0"/>
        <w:widowControl w:val="0"/>
        <w:shd w:val="clear" w:color="auto" w:fill="auto"/>
        <w:bidi w:val="0"/>
        <w:spacing w:before="0" w:after="0" w:line="269" w:lineRule="auto"/>
        <w:ind w:left="0" w:right="0" w:firstLine="560"/>
        <w:jc w:val="both"/>
      </w:pPr>
      <w:r>
        <w:rPr>
          <w:rStyle w:val="CharStyle13"/>
        </w:rPr>
        <w:t>Довод признается обоснованным.</w:t>
      </w:r>
    </w:p>
    <w:p>
      <w:pPr>
        <w:pStyle w:val="Style12"/>
        <w:keepNext w:val="0"/>
        <w:keepLines w:val="0"/>
        <w:widowControl w:val="0"/>
        <w:numPr>
          <w:ilvl w:val="0"/>
          <w:numId w:val="7"/>
        </w:numPr>
        <w:shd w:val="clear" w:color="auto" w:fill="auto"/>
        <w:tabs>
          <w:tab w:pos="1085" w:val="left"/>
        </w:tabs>
        <w:bidi w:val="0"/>
        <w:spacing w:before="0" w:after="0" w:line="269" w:lineRule="auto"/>
        <w:ind w:left="0" w:right="0" w:firstLine="600"/>
        <w:jc w:val="both"/>
      </w:pPr>
      <w:r>
        <w:rPr>
          <w:rStyle w:val="CharStyle13"/>
          <w:i/>
          <w:iCs/>
        </w:rPr>
        <w:t>Согласно четвертому доводу жалобы</w:t>
      </w:r>
      <w:r>
        <w:rPr>
          <w:rStyle w:val="CharStyle13"/>
        </w:rPr>
        <w:t xml:space="preserve"> состав обязательных работ по передаче данных оставлен на последующее согласование с Заказчиком.</w:t>
      </w:r>
    </w:p>
    <w:p>
      <w:pPr>
        <w:pStyle w:val="Style12"/>
        <w:keepNext w:val="0"/>
        <w:keepLines w:val="0"/>
        <w:widowControl w:val="0"/>
        <w:shd w:val="clear" w:color="auto" w:fill="auto"/>
        <w:bidi w:val="0"/>
        <w:spacing w:before="0" w:after="0" w:line="269" w:lineRule="auto"/>
        <w:ind w:left="0" w:right="0" w:firstLine="600"/>
        <w:jc w:val="both"/>
      </w:pPr>
      <w:r>
        <w:rPr>
          <w:rStyle w:val="CharStyle13"/>
        </w:rPr>
        <w:t xml:space="preserve">Техническим заданием предусмотрено предоставление описания и доступа к </w:t>
      </w:r>
      <w:r>
        <w:rPr>
          <w:rStyle w:val="CharStyle13"/>
          <w:lang w:val="en-US" w:eastAsia="en-US"/>
        </w:rPr>
        <w:t xml:space="preserve">API </w:t>
      </w:r>
      <w:r>
        <w:rPr>
          <w:rStyle w:val="CharStyle13"/>
        </w:rPr>
        <w:t xml:space="preserve">АПВГК для получения параметров работоспособности оборудования. При невозможности предоставить </w:t>
      </w:r>
      <w:r>
        <w:rPr>
          <w:rStyle w:val="CharStyle13"/>
          <w:lang w:val="en-US" w:eastAsia="en-US"/>
        </w:rPr>
        <w:t xml:space="preserve">API </w:t>
      </w:r>
      <w:r>
        <w:rPr>
          <w:rStyle w:val="CharStyle13"/>
        </w:rPr>
        <w:t>допускается установка программного агента, опрос агента производителя либо доступ к веб-интерфейсу устройств. Одновременно установлено: «Перечень требуемых метрик согласовывается отдельно с Заказчиком». Следовательно, до подачи заявки участникам не сообщен обязательный состав данных, получение и передачу которых они должны обеспечить. От этого состава зависят выбор технического решения, необходимость доработки программного обеспечения, объем настройки и стоимость работ.</w:t>
      </w:r>
    </w:p>
    <w:p>
      <w:pPr>
        <w:pStyle w:val="Style12"/>
        <w:keepNext w:val="0"/>
        <w:keepLines w:val="0"/>
        <w:widowControl w:val="0"/>
        <w:shd w:val="clear" w:color="auto" w:fill="auto"/>
        <w:bidi w:val="0"/>
        <w:spacing w:before="0" w:after="0" w:line="269" w:lineRule="auto"/>
        <w:ind w:left="0" w:right="0" w:firstLine="600"/>
        <w:jc w:val="both"/>
      </w:pPr>
      <w:r>
        <w:rPr>
          <w:rStyle w:val="CharStyle13"/>
        </w:rPr>
        <w:t xml:space="preserve">Согласно пункту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w:t>
      </w:r>
    </w:p>
    <w:p>
      <w:pPr>
        <w:pStyle w:val="Style12"/>
        <w:keepNext w:val="0"/>
        <w:keepLines w:val="0"/>
        <w:widowControl w:val="0"/>
        <w:shd w:val="clear" w:color="auto" w:fill="auto"/>
        <w:bidi w:val="0"/>
        <w:spacing w:before="0" w:after="40" w:line="266" w:lineRule="auto"/>
        <w:ind w:left="0" w:right="0" w:firstLine="0"/>
        <w:jc w:val="both"/>
      </w:pPr>
      <w:r>
        <w:rPr>
          <w:rStyle w:val="CharStyle13"/>
        </w:rPr>
        <w:t>ограничение количества участников закупки.</w:t>
      </w:r>
    </w:p>
    <w:p>
      <w:pPr>
        <w:pStyle w:val="Style12"/>
        <w:keepNext w:val="0"/>
        <w:keepLines w:val="0"/>
        <w:widowControl w:val="0"/>
        <w:shd w:val="clear" w:color="auto" w:fill="auto"/>
        <w:bidi w:val="0"/>
        <w:spacing w:before="0" w:after="0" w:line="266" w:lineRule="auto"/>
        <w:ind w:left="0" w:right="0" w:firstLine="600"/>
        <w:jc w:val="both"/>
      </w:pPr>
      <w:r>
        <w:rPr>
          <w:rStyle w:val="CharStyle13"/>
        </w:rPr>
        <w:t xml:space="preserve">Согласно части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описание объекта закупки в соответствии с требованиями, указанными в части </w:t>
      </w:r>
      <w:r>
        <w:rPr>
          <w:rStyle w:val="CharStyle13"/>
          <w:lang w:val="en-US" w:eastAsia="en-US"/>
        </w:rPr>
        <w:t xml:space="preserve">1 </w:t>
      </w:r>
      <w:r>
        <w:rPr>
          <w:rStyle w:val="CharStyle13"/>
        </w:rPr>
        <w:t>настоящей статьи, должно содержать показатели, позволяющие определить соответствие закупаемых товара, работы, услуги</w:t>
      </w:r>
    </w:p>
    <w:p>
      <w:pPr>
        <w:pStyle w:val="Style12"/>
        <w:keepNext w:val="0"/>
        <w:keepLines w:val="0"/>
        <w:widowControl w:val="0"/>
        <w:shd w:val="clear" w:color="auto" w:fill="auto"/>
        <w:bidi w:val="0"/>
        <w:spacing w:before="0" w:after="0" w:line="269" w:lineRule="auto"/>
        <w:ind w:left="0" w:right="0" w:firstLine="0"/>
        <w:jc w:val="both"/>
      </w:pPr>
      <w:r>
        <w:rPr>
          <w:rStyle w:val="CharStyle13"/>
        </w:rPr>
        <w:t>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69" w:lineRule="auto"/>
        <w:ind w:left="0" w:right="0" w:firstLine="600"/>
        <w:jc w:val="both"/>
      </w:pPr>
      <w:r>
        <w:rPr>
          <w:rStyle w:val="CharStyle13"/>
        </w:rPr>
        <w:t>Согласование перечня обязательных показателей после заключения контракта не обеспечивает равные условия расчета цены для участников и допускает предъявление требований, объем которых при проведении закупки не определен.</w:t>
      </w:r>
    </w:p>
    <w:p>
      <w:pPr>
        <w:pStyle w:val="Style12"/>
        <w:keepNext w:val="0"/>
        <w:keepLines w:val="0"/>
        <w:widowControl w:val="0"/>
        <w:shd w:val="clear" w:color="auto" w:fill="auto"/>
        <w:bidi w:val="0"/>
        <w:spacing w:before="0" w:after="0" w:line="269" w:lineRule="auto"/>
        <w:ind w:left="0" w:right="0" w:firstLine="600"/>
        <w:jc w:val="both"/>
      </w:pPr>
      <w:r>
        <w:rPr>
          <w:rStyle w:val="CharStyle13"/>
        </w:rPr>
        <w:t xml:space="preserve">Обязательный перечень передаваемых данных, требования к их формату и порядок проверки результата должны быть установлены в извещении до окончания подачи заявок. Таким образом, Заказчиком нарушены пункт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часть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и пункт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 Следовательно, довод признается обоснованным.</w:t>
      </w:r>
    </w:p>
    <w:p>
      <w:pPr>
        <w:pStyle w:val="Style12"/>
        <w:keepNext w:val="0"/>
        <w:keepLines w:val="0"/>
        <w:widowControl w:val="0"/>
        <w:numPr>
          <w:ilvl w:val="0"/>
          <w:numId w:val="7"/>
        </w:numPr>
        <w:shd w:val="clear" w:color="auto" w:fill="auto"/>
        <w:tabs>
          <w:tab w:pos="1085" w:val="left"/>
        </w:tabs>
        <w:bidi w:val="0"/>
        <w:spacing w:before="0" w:after="0" w:line="269" w:lineRule="auto"/>
        <w:ind w:left="0" w:right="0" w:firstLine="600"/>
        <w:jc w:val="both"/>
      </w:pPr>
      <w:r>
        <w:rPr>
          <w:rStyle w:val="CharStyle13"/>
          <w:i/>
          <w:iCs/>
        </w:rPr>
        <w:t>Согласно пятому доводу жалобы</w:t>
      </w:r>
      <w:r>
        <w:rPr>
          <w:rStyle w:val="CharStyle13"/>
        </w:rPr>
        <w:t xml:space="preserve"> требования к подтверждению метрологической пригодности автоматических постов весогабаритного контроля после замены оборудования изложены неполно.</w:t>
      </w:r>
    </w:p>
    <w:p>
      <w:pPr>
        <w:pStyle w:val="Style12"/>
        <w:keepNext w:val="0"/>
        <w:keepLines w:val="0"/>
        <w:widowControl w:val="0"/>
        <w:shd w:val="clear" w:color="auto" w:fill="auto"/>
        <w:bidi w:val="0"/>
        <w:spacing w:before="0" w:after="0" w:line="269" w:lineRule="auto"/>
        <w:ind w:left="0" w:right="0" w:firstLine="600"/>
        <w:jc w:val="both"/>
      </w:pPr>
      <w:r>
        <w:rPr>
          <w:rStyle w:val="CharStyle13"/>
        </w:rPr>
        <w:t xml:space="preserve">Согласно пункту </w:t>
      </w:r>
      <w:r>
        <w:rPr>
          <w:rStyle w:val="CharStyle13"/>
          <w:lang w:val="en-US" w:eastAsia="en-US"/>
        </w:rPr>
        <w:t xml:space="preserve">9 </w:t>
      </w:r>
      <w:r>
        <w:rPr>
          <w:rStyle w:val="CharStyle13"/>
        </w:rPr>
        <w:t>технического задания результатом выполненных работ является полностью исправный и работоспособный АПВГК, соответствующий требованиям действующего законодательства РФ в области весогабаритного контроля транспортных средств. Под полностью исправным состоянием АПВГК понимается состояние нормативно</w:t>
        <w:softHyphen/>
        <w:t>технически исправным, при котором все элементы АПВГК исправный, то есть соответствуют всем требованиям нормативно-технической документации, а также в них отсутствуют любые неисправности, дефекты, сбои, отказы, повреждения.</w:t>
      </w:r>
    </w:p>
    <w:p>
      <w:pPr>
        <w:pStyle w:val="Style12"/>
        <w:keepNext w:val="0"/>
        <w:keepLines w:val="0"/>
        <w:widowControl w:val="0"/>
        <w:shd w:val="clear" w:color="auto" w:fill="auto"/>
        <w:bidi w:val="0"/>
        <w:spacing w:before="0" w:after="0" w:line="269" w:lineRule="auto"/>
        <w:ind w:left="0" w:right="0" w:firstLine="720"/>
        <w:jc w:val="both"/>
      </w:pPr>
      <w:r>
        <w:rPr>
          <w:rStyle w:val="CharStyle13"/>
        </w:rPr>
        <w:t xml:space="preserve">Согласно пункту </w:t>
      </w:r>
      <w:r>
        <w:rPr>
          <w:rStyle w:val="CharStyle13"/>
          <w:lang w:val="en-US" w:eastAsia="en-US"/>
        </w:rPr>
        <w:t xml:space="preserve">8.2 </w:t>
      </w:r>
      <w:r>
        <w:rPr>
          <w:rStyle w:val="CharStyle13"/>
        </w:rPr>
        <w:t xml:space="preserve">технического задания по результатам пусконаладочных работ Подрядчик производит испытание АПВГК. Успешным испытанием таких работ является формирование акта измерений контрольного транспортного средства, передача его в информационную систему обработки материалов Заказчика </w:t>
      </w:r>
      <w:r>
        <w:rPr>
          <w:rStyle w:val="CharStyle13"/>
          <w:lang w:val="en-US" w:eastAsia="en-US"/>
        </w:rPr>
        <w:t xml:space="preserve">- </w:t>
      </w:r>
      <w:r>
        <w:rPr>
          <w:rStyle w:val="CharStyle13"/>
        </w:rPr>
        <w:t>ПО «Ангел ВГК». Акт измерений должен содержать корректные измерения соответствующих измеряемым характеристикам контрольного транспортного средства с учетом допускаемых законодательством РФ пределов погрешности.</w:t>
      </w:r>
    </w:p>
    <w:p>
      <w:pPr>
        <w:pStyle w:val="Style12"/>
        <w:keepNext w:val="0"/>
        <w:keepLines w:val="0"/>
        <w:widowControl w:val="0"/>
        <w:shd w:val="clear" w:color="auto" w:fill="auto"/>
        <w:bidi w:val="0"/>
        <w:spacing w:before="0" w:after="0" w:line="269" w:lineRule="auto"/>
        <w:ind w:left="0" w:right="0" w:firstLine="720"/>
        <w:jc w:val="both"/>
      </w:pPr>
      <w:r>
        <w:rPr>
          <w:rStyle w:val="CharStyle13"/>
        </w:rPr>
        <w:t xml:space="preserve">Согласно Федеральному закону от </w:t>
      </w:r>
      <w:r>
        <w:rPr>
          <w:rStyle w:val="CharStyle13"/>
          <w:lang w:val="en-US" w:eastAsia="en-US"/>
        </w:rPr>
        <w:t xml:space="preserve">26.06.2008 № </w:t>
      </w:r>
      <w:r>
        <w:rPr>
          <w:rStyle w:val="CharStyle13"/>
        </w:rPr>
        <w:t xml:space="preserve">102-ФЗ «Об обеспечении единства измерений» первичная поверка проводится до ввода в эксплуатацию, а периодическая </w:t>
      </w:r>
      <w:r>
        <w:rPr>
          <w:rStyle w:val="CharStyle13"/>
          <w:lang w:val="en-US" w:eastAsia="en-US"/>
        </w:rPr>
        <w:t xml:space="preserve">— </w:t>
      </w:r>
      <w:r>
        <w:rPr>
          <w:rStyle w:val="CharStyle13"/>
        </w:rPr>
        <w:t>в процессе эксплуатации, в том числе после ремонта. Проведение данной процедуры не предусмотрено в рамках настоящей закупки и будет осуществляться за счет средств Заказчика.</w:t>
      </w:r>
    </w:p>
    <w:p>
      <w:pPr>
        <w:pStyle w:val="Style12"/>
        <w:keepNext w:val="0"/>
        <w:keepLines w:val="0"/>
        <w:widowControl w:val="0"/>
        <w:shd w:val="clear" w:color="auto" w:fill="auto"/>
        <w:bidi w:val="0"/>
        <w:spacing w:before="0" w:after="0" w:line="269" w:lineRule="auto"/>
        <w:ind w:left="0" w:right="0" w:firstLine="600"/>
        <w:jc w:val="both"/>
      </w:pPr>
      <w:r>
        <w:rPr>
          <w:rStyle w:val="CharStyle13"/>
        </w:rPr>
        <w:t>Следовательно, довод жалобы признается необоснованным.</w:t>
      </w:r>
    </w:p>
    <w:p>
      <w:pPr>
        <w:pStyle w:val="Style12"/>
        <w:keepNext w:val="0"/>
        <w:keepLines w:val="0"/>
        <w:widowControl w:val="0"/>
        <w:shd w:val="clear" w:color="auto" w:fill="auto"/>
        <w:bidi w:val="0"/>
        <w:spacing w:before="0" w:after="0" w:line="269" w:lineRule="auto"/>
        <w:ind w:left="0" w:right="0" w:firstLine="600"/>
        <w:jc w:val="both"/>
      </w:pPr>
      <w:r>
        <w:rPr>
          <w:rStyle w:val="CharStyle13"/>
        </w:rPr>
        <w:t>Таким образом, жалоба заявителя признается обоснованной в части.</w:t>
      </w:r>
    </w:p>
    <w:p>
      <w:pPr>
        <w:pStyle w:val="Style12"/>
        <w:keepNext w:val="0"/>
        <w:keepLines w:val="0"/>
        <w:widowControl w:val="0"/>
        <w:shd w:val="clear" w:color="auto" w:fill="auto"/>
        <w:bidi w:val="0"/>
        <w:spacing w:before="0" w:after="0" w:line="269" w:lineRule="auto"/>
        <w:ind w:left="0" w:right="0" w:firstLine="600"/>
        <w:jc w:val="both"/>
      </w:pPr>
      <w:r>
        <w:rPr>
          <w:rStyle w:val="CharStyle13"/>
        </w:rPr>
        <w:t>По мнению Комиссии Нижегородского УФАС России, нарушения допущенные комиссией в ходе проведения закупочной процедуры в данном случае могут быть устранены только путем внесением изменений в извещение о проведении закупки и проведения процедуры определения поставщика (подрядчика, исполнителя) повторно, Комиссия Нижегородского УФАС России приходит к выводу о необходимости и целесообразности выдачи соответствующего предписания.</w:t>
      </w:r>
    </w:p>
    <w:p>
      <w:pPr>
        <w:pStyle w:val="Style12"/>
        <w:keepNext w:val="0"/>
        <w:keepLines w:val="0"/>
        <w:widowControl w:val="0"/>
        <w:shd w:val="clear" w:color="auto" w:fill="auto"/>
        <w:bidi w:val="0"/>
        <w:spacing w:before="0" w:after="240" w:line="269" w:lineRule="auto"/>
        <w:ind w:left="0" w:right="0" w:firstLine="600"/>
        <w:jc w:val="both"/>
      </w:pPr>
      <w:r>
        <w:rPr>
          <w:rStyle w:val="CharStyle13"/>
        </w:rPr>
        <w:t xml:space="preserve">Комиссия Нижегородского УФАС России, руководствуясь статьями </w:t>
      </w:r>
      <w:r>
        <w:rPr>
          <w:rStyle w:val="CharStyle13"/>
          <w:lang w:val="en-US" w:eastAsia="en-US"/>
        </w:rPr>
        <w:t xml:space="preserve">99, 106 </w:t>
      </w:r>
      <w:r>
        <w:rPr>
          <w:rStyle w:val="CharStyle13"/>
        </w:rPr>
        <w:t>Закона о контрактной системе,</w:t>
      </w:r>
    </w:p>
    <w:p>
      <w:pPr>
        <w:pStyle w:val="Style12"/>
        <w:keepNext w:val="0"/>
        <w:keepLines w:val="0"/>
        <w:widowControl w:val="0"/>
        <w:shd w:val="clear" w:color="auto" w:fill="auto"/>
        <w:bidi w:val="0"/>
        <w:spacing w:before="0" w:after="0" w:line="269" w:lineRule="auto"/>
        <w:ind w:left="0" w:right="0" w:firstLine="0"/>
        <w:jc w:val="center"/>
      </w:pPr>
      <w:r>
        <w:rPr>
          <w:rStyle w:val="CharStyle13"/>
          <w:b/>
          <w:bCs/>
        </w:rPr>
        <w:t>решила:</w:t>
      </w:r>
    </w:p>
    <w:p>
      <w:pPr>
        <w:pStyle w:val="Style12"/>
        <w:keepNext w:val="0"/>
        <w:keepLines w:val="0"/>
        <w:widowControl w:val="0"/>
        <w:numPr>
          <w:ilvl w:val="0"/>
          <w:numId w:val="13"/>
        </w:numPr>
        <w:shd w:val="clear" w:color="auto" w:fill="auto"/>
        <w:tabs>
          <w:tab w:pos="925" w:val="left"/>
        </w:tabs>
        <w:bidi w:val="0"/>
        <w:spacing w:before="0" w:after="120" w:line="269" w:lineRule="auto"/>
        <w:ind w:left="0" w:right="0" w:firstLine="580"/>
        <w:jc w:val="both"/>
      </w:pPr>
      <w:r>
        <w:rPr>
          <w:rStyle w:val="CharStyle13"/>
        </w:rPr>
        <w:t>Признать общества с ограниченной ответственностью «ИБС транспортные системы»</w:t>
      </w:r>
      <w:r>
        <w:br w:type="page"/>
      </w:r>
    </w:p>
    <w:p>
      <w:pPr>
        <w:pStyle w:val="Style12"/>
        <w:keepNext w:val="0"/>
        <w:keepLines w:val="0"/>
        <w:widowControl w:val="0"/>
        <w:shd w:val="clear" w:color="auto" w:fill="auto"/>
        <w:bidi w:val="0"/>
        <w:spacing w:before="0" w:after="0" w:line="254" w:lineRule="auto"/>
        <w:ind w:left="0" w:right="0" w:firstLine="0"/>
        <w:jc w:val="both"/>
      </w:pPr>
      <w:r>
        <w:rPr>
          <w:rStyle w:val="CharStyle13"/>
        </w:rPr>
        <w:t xml:space="preserve">(далее также </w:t>
      </w:r>
      <w:r>
        <w:rPr>
          <w:rStyle w:val="CharStyle13"/>
          <w:lang w:val="en-US" w:eastAsia="en-US"/>
        </w:rPr>
        <w:t xml:space="preserve">– </w:t>
      </w:r>
      <w:r>
        <w:rPr>
          <w:rStyle w:val="CharStyle13"/>
        </w:rPr>
        <w:t xml:space="preserve">Заявитель, ООО «ИБС транспортные системы») о нарушении государственное казённое учреждение Нижегородской области «Центр развития транспортных систем» (далее также </w:t>
      </w:r>
      <w:r>
        <w:rPr>
          <w:rStyle w:val="CharStyle13"/>
          <w:lang w:val="en-US" w:eastAsia="en-US"/>
        </w:rPr>
        <w:t xml:space="preserve">– </w:t>
      </w:r>
      <w:r>
        <w:rPr>
          <w:rStyle w:val="CharStyle13"/>
        </w:rPr>
        <w:t xml:space="preserve">ГКУ НО «ЦРТС», Заказчик) при определении поставщика путем проведения электронный аукцион на право заключения контракта по объекту закупки: «Выполнение работ по ремонту автоматического пункта весового и габаритного контроля в Сергачском муниципальном округе Нижегородской области», номер извещения </w:t>
      </w:r>
      <w:r>
        <w:rPr>
          <w:rStyle w:val="CharStyle13"/>
          <w:lang w:val="en-US" w:eastAsia="en-US"/>
        </w:rPr>
        <w:t xml:space="preserve">0832200006626000795, </w:t>
      </w:r>
      <w:r>
        <w:rPr>
          <w:rStyle w:val="CharStyle13"/>
        </w:rPr>
        <w:t>обоснованной в части.</w:t>
      </w:r>
    </w:p>
    <w:p>
      <w:pPr>
        <w:pStyle w:val="Style12"/>
        <w:keepNext w:val="0"/>
        <w:keepLines w:val="0"/>
        <w:widowControl w:val="0"/>
        <w:numPr>
          <w:ilvl w:val="0"/>
          <w:numId w:val="13"/>
        </w:numPr>
        <w:shd w:val="clear" w:color="auto" w:fill="auto"/>
        <w:tabs>
          <w:tab w:pos="898" w:val="left"/>
        </w:tabs>
        <w:bidi w:val="0"/>
        <w:spacing w:before="0" w:after="0" w:line="254" w:lineRule="auto"/>
        <w:ind w:left="0" w:right="0" w:firstLine="580"/>
        <w:jc w:val="both"/>
      </w:pPr>
      <w:r>
        <w:rPr>
          <w:rStyle w:val="CharStyle13"/>
        </w:rPr>
        <w:t xml:space="preserve">Признать Заказчика нарушившим положения статьи </w:t>
      </w:r>
      <w:r>
        <w:rPr>
          <w:rStyle w:val="CharStyle13"/>
          <w:lang w:val="en-US" w:eastAsia="en-US"/>
        </w:rPr>
        <w:t xml:space="preserve">31, </w:t>
      </w:r>
      <w:r>
        <w:rPr>
          <w:rStyle w:val="CharStyle13"/>
        </w:rPr>
        <w:t xml:space="preserve">статьи </w:t>
      </w:r>
      <w:r>
        <w:rPr>
          <w:rStyle w:val="CharStyle13"/>
          <w:lang w:val="en-US" w:eastAsia="en-US"/>
        </w:rPr>
        <w:t xml:space="preserve">33, </w:t>
      </w:r>
      <w:r>
        <w:rPr>
          <w:rStyle w:val="CharStyle13"/>
        </w:rPr>
        <w:t xml:space="preserve">пункт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часть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и 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numPr>
          <w:ilvl w:val="0"/>
          <w:numId w:val="13"/>
        </w:numPr>
        <w:shd w:val="clear" w:color="auto" w:fill="auto"/>
        <w:tabs>
          <w:tab w:pos="894" w:val="left"/>
        </w:tabs>
        <w:bidi w:val="0"/>
        <w:spacing w:before="0" w:after="0" w:line="254" w:lineRule="auto"/>
        <w:ind w:left="0" w:right="0" w:firstLine="580"/>
        <w:jc w:val="both"/>
      </w:pPr>
      <w:r>
        <w:rPr>
          <w:rStyle w:val="CharStyle13"/>
        </w:rPr>
        <w:t>Выдать Заказчику, комиссии по осуществлению закупок, оператору электронной площадки предписание об устранении нарушений законодательства о контрактной системе в сфере закупок.</w:t>
      </w:r>
    </w:p>
    <w:p>
      <w:pPr>
        <w:pStyle w:val="Style12"/>
        <w:keepNext w:val="0"/>
        <w:keepLines w:val="0"/>
        <w:widowControl w:val="0"/>
        <w:shd w:val="clear" w:color="auto" w:fill="auto"/>
        <w:bidi w:val="0"/>
        <w:spacing w:before="0" w:after="0" w:line="254" w:lineRule="auto"/>
        <w:ind w:left="0" w:right="0" w:firstLine="720"/>
        <w:jc w:val="both"/>
      </w:pPr>
      <w:r>
        <w:rPr>
          <w:rStyle w:val="CharStyle13"/>
        </w:rPr>
        <w:t xml:space="preserve">В соответствии с частью </w:t>
      </w:r>
      <w:r>
        <w:rPr>
          <w:rStyle w:val="CharStyle13"/>
          <w:lang w:val="en-US" w:eastAsia="en-US"/>
        </w:rPr>
        <w:t xml:space="preserve">9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 </w:t>
      </w:r>
      <w:r>
        <w:rPr>
          <w:rStyle w:val="CharStyle13"/>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666" w:right="536" w:bottom="1532" w:left="1101" w:header="0" w:footer="3" w:gutter="0"/>
          <w:cols w:space="720"/>
          <w:noEndnote/>
          <w:rtlGutter w:val="0"/>
          <w:docGrid w:linePitch="360"/>
        </w:sectPr>
      </w:pPr>
      <w:r>
        <mc:AlternateContent>
          <mc:Choice Requires="wps">
            <w:drawing>
              <wp:anchor distT="520700" distB="228600" distL="0" distR="0" simplePos="0" relativeHeight="125829394" behindDoc="0" locked="0" layoutInCell="1" allowOverlap="1">
                <wp:simplePos x="0" y="0"/>
                <wp:positionH relativeFrom="page">
                  <wp:posOffset>737235</wp:posOffset>
                </wp:positionH>
                <wp:positionV relativeFrom="paragraph">
                  <wp:posOffset>520700</wp:posOffset>
                </wp:positionV>
                <wp:extent cx="1630680" cy="225425"/>
                <wp:wrapTopAndBottom/>
                <wp:docPr id="25" name="Shape 25"/>
                <a:graphic xmlns:a="http://schemas.openxmlformats.org/drawingml/2006/main">
                  <a:graphicData uri="http://schemas.microsoft.com/office/word/2010/wordprocessingShape">
                    <wps:wsp>
                      <wps:cNvSpPr txBox="1"/>
                      <wps:spPr>
                        <a:xfrm>
                          <a:ext cx="1630680" cy="2254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wps:txbx>
                      <wps:bodyPr wrap="none" lIns="0" tIns="0" rIns="0" bIns="0">
                        <a:noAutoFit/>
                      </wps:bodyPr>
                    </wps:wsp>
                  </a:graphicData>
                </a:graphic>
              </wp:anchor>
            </w:drawing>
          </mc:Choice>
          <mc:Fallback>
            <w:pict>
              <v:shape id="_x0000_s1051" type="#_x0000_t202" style="position:absolute;margin-left:58.050000000000004pt;margin-top:41.pt;width:128.40000000000001pt;height:17.75pt;z-index:-125829359;mso-wrap-distance-left:0;mso-wrap-distance-top:41.pt;mso-wrap-distance-right:0;mso-wrap-distance-bottom:18.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v:textbox>
                <w10:wrap type="topAndBottom" anchorx="page"/>
              </v:shape>
            </w:pict>
          </mc:Fallback>
        </mc:AlternateContent>
      </w:r>
      <w:r>
        <w:drawing>
          <wp:anchor distT="608965" distB="0" distL="0" distR="1804670" simplePos="0" relativeHeight="125829396" behindDoc="0" locked="0" layoutInCell="1" allowOverlap="1">
            <wp:simplePos x="0" y="0"/>
            <wp:positionH relativeFrom="page">
              <wp:posOffset>3251835</wp:posOffset>
            </wp:positionH>
            <wp:positionV relativeFrom="paragraph">
              <wp:posOffset>608965</wp:posOffset>
            </wp:positionV>
            <wp:extent cx="316865" cy="36576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1"/>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3648075</wp:posOffset>
                </wp:positionH>
                <wp:positionV relativeFrom="paragraph">
                  <wp:posOffset>678815</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87.25pt;margin-top:53.450000000000003pt;width:135.59999999999999pt;height:20.40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20700" distB="228600" distL="0" distR="0" simplePos="0" relativeHeight="125829397" behindDoc="0" locked="0" layoutInCell="1" allowOverlap="1">
                <wp:simplePos x="0" y="0"/>
                <wp:positionH relativeFrom="page">
                  <wp:posOffset>5918835</wp:posOffset>
                </wp:positionH>
                <wp:positionV relativeFrom="paragraph">
                  <wp:posOffset>520700</wp:posOffset>
                </wp:positionV>
                <wp:extent cx="920750" cy="225425"/>
                <wp:wrapTopAndBottom/>
                <wp:docPr id="31" name="Shape 31"/>
                <a:graphic xmlns:a="http://schemas.openxmlformats.org/drawingml/2006/main">
                  <a:graphicData uri="http://schemas.microsoft.com/office/word/2010/wordprocessingShape">
                    <wps:wsp>
                      <wps:cNvSpPr txBox="1"/>
                      <wps:spPr>
                        <a:xfrm>
                          <a:ext cx="920750" cy="2254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И.В. Баранов</w:t>
                            </w:r>
                          </w:p>
                        </w:txbxContent>
                      </wps:txbx>
                      <wps:bodyPr wrap="none" lIns="0" tIns="0" rIns="0" bIns="0">
                        <a:noAutoFit/>
                      </wps:bodyPr>
                    </wps:wsp>
                  </a:graphicData>
                </a:graphic>
              </wp:anchor>
            </w:drawing>
          </mc:Choice>
          <mc:Fallback>
            <w:pict>
              <v:shape id="_x0000_s1057" type="#_x0000_t202" style="position:absolute;margin-left:466.05000000000001pt;margin-top:41.pt;width:72.5pt;height:17.75pt;z-index:-125829356;mso-wrap-distance-left:0;mso-wrap-distance-top:41.pt;mso-wrap-distance-right:0;mso-wrap-distance-bottom:18.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И.В. Баранов</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4"/>
          <w:color w:val="FFFFFF"/>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Баранов Илья Валерьевич</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0D493BB3DAA620D04EE744081508209F</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Действителен с 24.09.2025 </w:t>
      </w:r>
      <w:r>
        <w:rPr>
          <w:rStyle w:val="CharStyle26"/>
          <w:color w:val="5D5D5D"/>
        </w:rPr>
        <w:t xml:space="preserve">по </w:t>
      </w:r>
      <w:r>
        <w:rPr>
          <w:rStyle w:val="CharStyle26"/>
        </w:rPr>
        <w:t>18.12.2026</w:t>
      </w:r>
    </w:p>
    <w:p>
      <w:pPr>
        <w:widowControl w:val="0"/>
        <w:spacing w:line="1" w:lineRule="exact"/>
        <w:sectPr>
          <w:footnotePr>
            <w:pos w:val="pageBottom"/>
            <w:numFmt w:val="decimal"/>
            <w:numRestart w:val="continuous"/>
          </w:footnotePr>
          <w:type w:val="continuous"/>
          <w:pgSz w:w="11900" w:h="16840"/>
          <w:pgMar w:top="1671" w:right="536" w:bottom="1532" w:left="1106" w:header="0" w:footer="3" w:gutter="0"/>
          <w:cols w:space="720"/>
          <w:noEndnote/>
          <w:rtlGutter w:val="0"/>
          <w:docGrid w:linePitch="360"/>
        </w:sectPr>
      </w:pPr>
      <w:r>
        <mc:AlternateContent>
          <mc:Choice Requires="wps">
            <w:drawing>
              <wp:anchor distT="165100" distB="228600" distL="0" distR="0" simplePos="0" relativeHeight="125829399" behindDoc="0" locked="0" layoutInCell="1" allowOverlap="1">
                <wp:simplePos x="0" y="0"/>
                <wp:positionH relativeFrom="page">
                  <wp:posOffset>737235</wp:posOffset>
                </wp:positionH>
                <wp:positionV relativeFrom="paragraph">
                  <wp:posOffset>165100</wp:posOffset>
                </wp:positionV>
                <wp:extent cx="1200785" cy="225425"/>
                <wp:wrapTopAndBottom/>
                <wp:docPr id="33" name="Shape 33"/>
                <a:graphic xmlns:a="http://schemas.openxmlformats.org/drawingml/2006/main">
                  <a:graphicData uri="http://schemas.microsoft.com/office/word/2010/wordprocessingShape">
                    <wps:wsp>
                      <wps:cNvSpPr txBox="1"/>
                      <wps:spPr>
                        <a:xfrm>
                          <a:ext cx="1200785" cy="2254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wps:txbx>
                      <wps:bodyPr wrap="none" lIns="0" tIns="0" rIns="0" bIns="0">
                        <a:noAutoFit/>
                      </wps:bodyPr>
                    </wps:wsp>
                  </a:graphicData>
                </a:graphic>
              </wp:anchor>
            </w:drawing>
          </mc:Choice>
          <mc:Fallback>
            <w:pict>
              <v:shape id="_x0000_s1059" type="#_x0000_t202" style="position:absolute;margin-left:58.050000000000004pt;margin-top:13.pt;width:94.549999999999997pt;height:17.75pt;z-index:-125829354;mso-wrap-distance-left:0;mso-wrap-distance-top:13.pt;mso-wrap-distance-right:0;mso-wrap-distance-bottom:18.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v:textbox>
                <w10:wrap type="topAndBottom" anchorx="page"/>
              </v:shape>
            </w:pict>
          </mc:Fallback>
        </mc:AlternateContent>
      </w:r>
      <w:r>
        <w:drawing>
          <wp:anchor distT="253365" distB="0" distL="0" distR="1804670" simplePos="0" relativeHeight="125829401" behindDoc="0" locked="0" layoutInCell="1" allowOverlap="1">
            <wp:simplePos x="0" y="0"/>
            <wp:positionH relativeFrom="page">
              <wp:posOffset>3251835</wp:posOffset>
            </wp:positionH>
            <wp:positionV relativeFrom="paragraph">
              <wp:posOffset>253365</wp:posOffset>
            </wp:positionV>
            <wp:extent cx="316865" cy="365760"/>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3"/>
                    <a:stretch/>
                  </pic:blipFill>
                  <pic:spPr>
                    <a:xfrm>
                      <a:ext cx="316865"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3648075</wp:posOffset>
                </wp:positionH>
                <wp:positionV relativeFrom="paragraph">
                  <wp:posOffset>323215</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87.25pt;margin-top:25.449999999999999pt;width:135.59999999999999pt;height:20.40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65100" distB="228600" distL="0" distR="0" simplePos="0" relativeHeight="125829402" behindDoc="0" locked="0" layoutInCell="1" allowOverlap="1">
                <wp:simplePos x="0" y="0"/>
                <wp:positionH relativeFrom="page">
                  <wp:posOffset>5918835</wp:posOffset>
                </wp:positionH>
                <wp:positionV relativeFrom="paragraph">
                  <wp:posOffset>165100</wp:posOffset>
                </wp:positionV>
                <wp:extent cx="780415" cy="225425"/>
                <wp:wrapTopAndBottom/>
                <wp:docPr id="39" name="Shape 39"/>
                <a:graphic xmlns:a="http://schemas.openxmlformats.org/drawingml/2006/main">
                  <a:graphicData uri="http://schemas.microsoft.com/office/word/2010/wordprocessingShape">
                    <wps:wsp>
                      <wps:cNvSpPr txBox="1"/>
                      <wps:spPr>
                        <a:xfrm>
                          <a:ext cx="780415" cy="2254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В.А. Репин</w:t>
                            </w:r>
                          </w:p>
                        </w:txbxContent>
                      </wps:txbx>
                      <wps:bodyPr wrap="none" lIns="0" tIns="0" rIns="0" bIns="0">
                        <a:noAutoFit/>
                      </wps:bodyPr>
                    </wps:wsp>
                  </a:graphicData>
                </a:graphic>
              </wp:anchor>
            </w:drawing>
          </mc:Choice>
          <mc:Fallback>
            <w:pict>
              <v:shape id="_x0000_s1065" type="#_x0000_t202" style="position:absolute;margin-left:466.05000000000001pt;margin-top:13.pt;width:61.450000000000003pt;height:17.75pt;z-index:-125829351;mso-wrap-distance-left:0;mso-wrap-distance-top:13.pt;mso-wrap-distance-right:0;mso-wrap-distance-bottom:18.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В.А. Репин</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4"/>
          <w:color w:val="FFFFFF"/>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Репин Владимир Александрович</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3ABDB27840BC87051CC852D2043894F0</w:t>
      </w:r>
    </w:p>
    <w:p>
      <w:pPr>
        <w:pStyle w:val="Style25"/>
        <w:keepNext w:val="0"/>
        <w:keepLines w:val="0"/>
        <w:widowControl w:val="0"/>
        <w:shd w:val="clear" w:color="auto" w:fill="auto"/>
        <w:bidi w:val="0"/>
        <w:spacing w:before="0" w:after="400" w:line="240" w:lineRule="auto"/>
        <w:ind w:right="0" w:firstLine="0"/>
        <w:jc w:val="left"/>
      </w:pPr>
      <w:r>
        <w:rPr>
          <w:rStyle w:val="CharStyle26"/>
        </w:rPr>
        <w:t xml:space="preserve">Действителен с 08.07.2026 </w:t>
      </w:r>
      <w:r>
        <w:rPr>
          <w:rStyle w:val="CharStyle26"/>
          <w:color w:val="5D5D5D"/>
        </w:rPr>
        <w:t xml:space="preserve">по </w:t>
      </w:r>
      <w:r>
        <w:rPr>
          <w:rStyle w:val="CharStyle26"/>
        </w:rPr>
        <w:t>01.10.2027</w:t>
      </w:r>
    </w:p>
    <w:p>
      <w:pPr>
        <w:pStyle w:val="Style12"/>
        <w:keepNext w:val="0"/>
        <w:keepLines w:val="0"/>
        <w:widowControl w:val="0"/>
        <w:shd w:val="clear" w:color="auto" w:fill="auto"/>
        <w:bidi w:val="0"/>
        <w:spacing w:before="0" w:after="680" w:line="240" w:lineRule="auto"/>
        <w:ind w:left="0" w:right="0" w:firstLine="700"/>
        <w:jc w:val="left"/>
      </w:pPr>
      <w:r>
        <w:drawing>
          <wp:anchor distT="0" distB="0" distL="114300" distR="1900555" simplePos="0" relativeHeight="125829404" behindDoc="0" locked="0" layoutInCell="1" allowOverlap="1">
            <wp:simplePos x="0" y="0"/>
            <wp:positionH relativeFrom="page">
              <wp:posOffset>3227705</wp:posOffset>
            </wp:positionH>
            <wp:positionV relativeFrom="paragraph">
              <wp:posOffset>50800</wp:posOffset>
            </wp:positionV>
            <wp:extent cx="359410" cy="524510"/>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15"/>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3688080</wp:posOffset>
                </wp:positionH>
                <wp:positionV relativeFrom="paragraph">
                  <wp:posOffset>455930</wp:posOffset>
                </wp:positionV>
                <wp:extent cx="1283335" cy="100330"/>
                <wp:wrapNone/>
                <wp:docPr id="43" name="Shape 4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color w:val="FFFFFF"/>
                                <w:sz w:val="12"/>
                                <w:szCs w:val="12"/>
                              </w:rPr>
                              <w:t>СВЕДЕНИЯ О СЕРТИФИКАТЕ ЭП</w:t>
                            </w:r>
                          </w:p>
                        </w:txbxContent>
                      </wps:txbx>
                      <wps:bodyPr lIns="0" tIns="0" rIns="0" bIns="0">
                        <a:noAutoFit/>
                      </wps:bodyPr>
                    </wps:wsp>
                  </a:graphicData>
                </a:graphic>
              </wp:anchor>
            </w:drawing>
          </mc:Choice>
          <mc:Fallback>
            <w:pict>
              <v:shape id="_x0000_s1069" type="#_x0000_t202" style="position:absolute;margin-left:290.40000000000003pt;margin-top:35.899999999999999pt;width:101.05pt;height:7.90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3648075</wp:posOffset>
                </wp:positionH>
                <wp:positionV relativeFrom="paragraph">
                  <wp:posOffset>139065</wp:posOffset>
                </wp:positionV>
                <wp:extent cx="1722120" cy="259080"/>
                <wp:wrapNone/>
                <wp:docPr id="45" name="Shape 4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87.25pt;margin-top:10.950000000000001pt;width:135.59999999999999pt;height:20.40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Ю.К. Лебедева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Лебедева Юлия Константиновна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00C93FBB7A4557EA64748F1397E15ED90B</w:t>
      </w:r>
    </w:p>
    <w:p>
      <w:pPr>
        <w:pStyle w:val="Style25"/>
        <w:keepNext w:val="0"/>
        <w:keepLines w:val="0"/>
        <w:widowControl w:val="0"/>
        <w:shd w:val="clear" w:color="auto" w:fill="auto"/>
        <w:bidi w:val="0"/>
        <w:spacing w:before="0" w:after="1780" w:line="240" w:lineRule="auto"/>
        <w:ind w:right="0" w:firstLine="0"/>
        <w:jc w:val="left"/>
      </w:pPr>
      <w:r>
        <w:rPr>
          <w:rStyle w:val="CharStyle26"/>
        </w:rPr>
        <w:t xml:space="preserve">Действителен с 04.09.2025 </w:t>
      </w:r>
      <w:r>
        <w:rPr>
          <w:rStyle w:val="CharStyle26"/>
          <w:color w:val="5D5D5D"/>
        </w:rPr>
        <w:t xml:space="preserve">по </w:t>
      </w:r>
      <w:r>
        <w:rPr>
          <w:rStyle w:val="CharStyle26"/>
        </w:rPr>
        <w:t>28.1</w:t>
      </w:r>
      <w:r>
        <w:rPr>
          <w:rStyle w:val="CharStyle26"/>
          <w:color w:val="292929"/>
        </w:rPr>
        <w:t>1</w:t>
      </w:r>
      <w:r>
        <w:rPr>
          <w:rStyle w:val="CharStyle26"/>
        </w:rPr>
        <w:t>.2026</w:t>
      </w:r>
    </w:p>
    <w:p>
      <w:pPr>
        <w:pStyle w:val="Style5"/>
        <w:keepNext w:val="0"/>
        <w:keepLines w:val="0"/>
        <w:widowControl w:val="0"/>
        <w:shd w:val="clear" w:color="auto" w:fill="auto"/>
        <w:bidi w:val="0"/>
        <w:spacing w:before="0" w:after="0" w:line="240" w:lineRule="auto"/>
        <w:ind w:left="0" w:right="0" w:firstLine="0"/>
        <w:jc w:val="left"/>
      </w:pPr>
      <w:r>
        <w:rPr>
          <w:rStyle w:val="CharStyle6"/>
          <w:color w:val="000000"/>
        </w:rPr>
        <w:t>Исп.Макарова Е.А.</w:t>
      </w:r>
    </w:p>
    <w:p>
      <w:pPr>
        <w:pStyle w:val="Style5"/>
        <w:keepNext w:val="0"/>
        <w:keepLines w:val="0"/>
        <w:widowControl w:val="0"/>
        <w:shd w:val="clear" w:color="auto" w:fill="auto"/>
        <w:bidi w:val="0"/>
        <w:spacing w:before="0" w:after="60" w:line="240" w:lineRule="auto"/>
        <w:ind w:left="0" w:right="0" w:firstLine="0"/>
        <w:jc w:val="left"/>
      </w:pPr>
      <w:r>
        <w:rPr>
          <w:rStyle w:val="CharStyle6"/>
          <w:color w:val="000000"/>
        </w:rPr>
        <w:t>тел.431-73-87, 052-706</w:t>
      </w:r>
    </w:p>
    <w:sectPr>
      <w:footnotePr>
        <w:pos w:val="pageBottom"/>
        <w:numFmt w:val="decimal"/>
        <w:numRestart w:val="continuous"/>
      </w:footnotePr>
      <w:type w:val="continuous"/>
      <w:pgSz w:w="11900" w:h="16840"/>
      <w:pgMar w:top="1671" w:right="536" w:bottom="153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779780</wp:posOffset>
              </wp:positionH>
              <wp:positionV relativeFrom="page">
                <wp:posOffset>10238740</wp:posOffset>
              </wp:positionV>
              <wp:extent cx="728345" cy="128270"/>
              <wp:wrapNone/>
              <wp:docPr id="5" name="Shape 5"/>
              <a:graphic xmlns:a="http://schemas.openxmlformats.org/drawingml/2006/main">
                <a:graphicData uri="http://schemas.microsoft.com/office/word/2010/wordprocessingShape">
                  <wps:wsp>
                    <wps:cNvSpPr txBox="1"/>
                    <wps:spPr>
                      <a:xfrm>
                        <a:ext cx="72834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2026-24559</w:t>
                          </w:r>
                        </w:p>
                      </w:txbxContent>
                    </wps:txbx>
                    <wps:bodyPr wrap="none" lIns="0" tIns="0" rIns="0" bIns="0">
                      <a:spAutoFit/>
                    </wps:bodyPr>
                  </wps:wsp>
                </a:graphicData>
              </a:graphic>
            </wp:anchor>
          </w:drawing>
        </mc:Choice>
        <mc:Fallback>
          <w:pict>
            <v:shape id="_x0000_s1031" type="#_x0000_t202" style="position:absolute;margin-left:61.399999999999999pt;margin-top:806.20000000000005pt;width:57.350000000000001pt;height:10.1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2026-24559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891540</wp:posOffset>
              </wp:positionH>
              <wp:positionV relativeFrom="page">
                <wp:posOffset>10034270</wp:posOffset>
              </wp:positionV>
              <wp:extent cx="728345" cy="125095"/>
              <wp:wrapNone/>
              <wp:docPr id="7" name="Shape 7"/>
              <a:graphic xmlns:a="http://schemas.openxmlformats.org/drawingml/2006/main">
                <a:graphicData uri="http://schemas.microsoft.com/office/word/2010/wordprocessingShape">
                  <wps:wsp>
                    <wps:cNvSpPr txBox="1"/>
                    <wps:spPr>
                      <a:xfrm>
                        <a:ext cx="72834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2026-24559</w:t>
                          </w:r>
                        </w:p>
                      </w:txbxContent>
                    </wps:txbx>
                    <wps:bodyPr wrap="none" lIns="0" tIns="0" rIns="0" bIns="0">
                      <a:spAutoFit/>
                    </wps:bodyPr>
                  </wps:wsp>
                </a:graphicData>
              </a:graphic>
            </wp:anchor>
          </w:drawing>
        </mc:Choice>
        <mc:Fallback>
          <w:pict>
            <v:shape id="_x0000_s1033" type="#_x0000_t202" style="position:absolute;margin-left:70.200000000000003pt;margin-top:790.10000000000002pt;width:57.350000000000001pt;height:9.8499999999999996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2026-24559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3889375</wp:posOffset>
              </wp:positionH>
              <wp:positionV relativeFrom="page">
                <wp:posOffset>704215</wp:posOffset>
              </wp:positionV>
              <wp:extent cx="152400" cy="106680"/>
              <wp:wrapNone/>
              <wp:docPr id="3" name="Shape 3"/>
              <a:graphic xmlns:a="http://schemas.openxmlformats.org/drawingml/2006/main">
                <a:graphicData uri="http://schemas.microsoft.com/office/word/2010/wordprocessingShape">
                  <wps:wsp>
                    <wps:cNvSpPr txBox="1"/>
                    <wps:spPr>
                      <a:xfrm>
                        <a:ext cx="15240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25pt;margin-top:55.450000000000003pt;width:12.pt;height:8.40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3"/>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6">
    <w:name w:val="Table caption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8">
    <w:name w:val="Other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2">
    <w:name w:val="Picture caption_"/>
    <w:basedOn w:val="DefaultParagraphFont"/>
    <w:link w:val="Style21"/>
    <w:rPr>
      <w:rFonts w:ascii="Georgia" w:eastAsia="Georgia" w:hAnsi="Georgia" w:cs="Georgia"/>
      <w:b w:val="0"/>
      <w:bCs w:val="0"/>
      <w:i w:val="0"/>
      <w:iCs w:val="0"/>
      <w:smallCaps w:val="0"/>
      <w:strike w:val="0"/>
      <w:color w:val="292929"/>
      <w:sz w:val="11"/>
      <w:szCs w:val="11"/>
      <w:u w:val="none"/>
    </w:rPr>
  </w:style>
  <w:style w:type="character" w:customStyle="1" w:styleId="CharStyle24">
    <w:name w:val="Body text (4)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Body text (2)_"/>
    <w:basedOn w:val="DefaultParagraphFont"/>
    <w:link w:val="Style25"/>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0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Table caption"/>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7">
    <w:name w:val="Other"/>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1">
    <w:name w:val="Picture caption"/>
    <w:basedOn w:val="Normal"/>
    <w:link w:val="CharStyle22"/>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3">
    <w:name w:val="Body text (4)"/>
    <w:basedOn w:val="Normal"/>
    <w:link w:val="CharStyle24"/>
    <w:pPr>
      <w:widowControl w:val="0"/>
      <w:shd w:val="clear" w:color="auto" w:fill="auto"/>
      <w:spacing w:after="100"/>
      <w:ind w:left="4720"/>
    </w:pPr>
    <w:rPr>
      <w:rFonts w:ascii="Georgia" w:eastAsia="Georgia" w:hAnsi="Georgia" w:cs="Georgia"/>
      <w:b w:val="0"/>
      <w:bCs w:val="0"/>
      <w:i w:val="0"/>
      <w:iCs w:val="0"/>
      <w:smallCaps w:val="0"/>
      <w:strike w:val="0"/>
      <w:color w:val="EBEBEB"/>
      <w:sz w:val="12"/>
      <w:szCs w:val="12"/>
      <w:u w:val="none"/>
    </w:rPr>
  </w:style>
  <w:style w:type="paragraph" w:customStyle="1" w:styleId="Style25">
    <w:name w:val="Body text (2)"/>
    <w:basedOn w:val="Normal"/>
    <w:link w:val="CharStyle26"/>
    <w:pPr>
      <w:widowControl w:val="0"/>
      <w:shd w:val="clear" w:color="auto" w:fill="auto"/>
      <w:ind w:left="40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