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6.10.2026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ИК/20637/</w:t>
      </w:r>
      <w:r>
        <w:rPr>
          <w:rStyle w:val="CharStyle10"/>
          <w:u w:val="none"/>
        </w:rPr>
        <w:t>26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3"/>
          <w:rFonts w:ascii="Times New Roman" w:eastAsia="Times New Roman" w:hAnsi="Times New Roman" w:cs="Times New Roman"/>
          <w:color w:val="45609D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765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 xml:space="preserve">ООО "ГЕНОС" </w:t>
      </w:r>
      <w:r>
        <w:fldChar w:fldCharType="begin"/>
      </w:r>
      <w:r>
        <w:rPr/>
        <w:instrText> HYPERLINK "mailto:GENOS59@YANDEX.RU"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GENOS59@YANDEX.RU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ГП "НОФ"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 xml:space="preserve">603000, Нижегородская Область, г.о. Город Нижний Новгород, г Нижний Новгород, ул Грузинская, д. 21 </w:t>
      </w:r>
      <w:r>
        <w:fldChar w:fldCharType="begin"/>
      </w:r>
      <w:r>
        <w:rPr/>
        <w:instrText> HYPERLINK "mailto:nof@gpnof.ru"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nof@gpnof.ru</w:t>
      </w:r>
      <w:r>
        <w:fldChar w:fldCharType="end"/>
      </w:r>
      <w:r>
        <w:rPr>
          <w:rStyle w:val="CharStyle16"/>
          <w:sz w:val="28"/>
          <w:szCs w:val="28"/>
          <w:lang w:val="en-US" w:eastAsia="en-US"/>
        </w:rPr>
        <w:t xml:space="preserve"> </w:t>
      </w:r>
      <w:r>
        <w:fldChar w:fldCharType="begin"/>
      </w:r>
      <w:r>
        <w:rPr/>
        <w:instrText> HYPERLINK "mailto:kondratev@gpnof.ru"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kondratev@gpnof.ru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>ЭТП Газпромбанк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6"/>
          <w:sz w:val="28"/>
          <w:szCs w:val="28"/>
        </w:rPr>
        <w:t xml:space="preserve">117342, город Москва, Миклухо-Маклая улица, дом 40, подвал помещение </w:t>
      </w:r>
      <w:r>
        <w:rPr>
          <w:rStyle w:val="CharStyle16"/>
          <w:sz w:val="28"/>
          <w:szCs w:val="28"/>
          <w:lang w:val="en-US" w:eastAsia="en-US"/>
        </w:rPr>
        <w:t xml:space="preserve">I </w:t>
      </w:r>
      <w:r>
        <w:rPr>
          <w:rStyle w:val="CharStyle16"/>
          <w:sz w:val="28"/>
          <w:szCs w:val="28"/>
        </w:rPr>
        <w:t>ком 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9" w:right="627" w:bottom="1395" w:left="1135" w:header="0" w:footer="3" w:gutter="0"/>
          <w:pgNumType w:start="1"/>
          <w:cols w:num="2" w:space="720" w:equalWidth="0">
            <w:col w:w="4363" w:space="907"/>
            <w:col w:w="486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info@etpgpb.ru</w:t>
      </w:r>
      <w:r>
        <w:fldChar w:fldCharType="end"/>
      </w:r>
      <w:r>
        <w:rPr>
          <w:rStyle w:val="CharStyle16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6"/>
          <w:sz w:val="28"/>
          <w:szCs w:val="28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138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9" w:right="0" w:bottom="14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571500</wp:posOffset>
                </wp:positionV>
                <wp:extent cx="1539240" cy="24384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13 октября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45.pt;width:121.2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13 октября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  <w:b/>
          <w:bCs/>
        </w:rPr>
        <w:t>РЕШЕНИЕ №052/06/105-2333/2026</w:t>
        <w:br/>
        <w:t>по результатам рассмотрения жалобы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360" w:firstLine="0"/>
        <w:jc w:val="right"/>
      </w:pPr>
      <w:r>
        <w:rPr>
          <w:rStyle w:val="CharStyle16"/>
        </w:rPr>
        <w:t>город Нижний Новгород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25400</wp:posOffset>
                </wp:positionV>
                <wp:extent cx="1280160" cy="62801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628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Канаевой И.С.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Королевой И.А.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Железова Е.С.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2.pt;width:100.8pt;height:49.450000000000003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Канаевой И.С.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Королевой И.А.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Железова Е.С.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</w:rPr>
        <w:t>-председателя комиссии, заместителя руководителя управления,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16"/>
        </w:rPr>
        <w:t>-члена комиссии, начальника отдела контроля торгов,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16"/>
        </w:rPr>
        <w:t>-члена комиссии, главного специалиста-эксперта отдела контроля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16"/>
        </w:rPr>
        <w:t>торгов,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hanging="2560"/>
        <w:jc w:val="both"/>
      </w:pPr>
      <w:r>
        <w:rPr>
          <w:rStyle w:val="CharStyle16"/>
        </w:rPr>
        <w:t>при участии посредством видео-конференц-связи: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2560" w:right="0" w:hanging="2560"/>
        <w:jc w:val="both"/>
      </w:pPr>
      <w:r>
        <w:rPr>
          <w:rStyle w:val="CharStyle16"/>
        </w:rPr>
        <w:t>Базанова Д.А. -представителя ГП НО «НОФ» (доверенность № 26/05 от 26.06.2026);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  <w:tab w:pos="2395" w:val="left"/>
        </w:tabs>
        <w:bidi w:val="0"/>
        <w:spacing w:before="0" w:after="0" w:line="240" w:lineRule="auto"/>
        <w:ind w:left="2560" w:right="0" w:hanging="2560"/>
        <w:jc w:val="both"/>
      </w:pPr>
      <w:r>
        <w:rPr>
          <w:rStyle w:val="CharStyle16"/>
        </w:rPr>
        <w:t>Николаева А.Н.</w:t>
        <w:tab/>
        <w:t>-представителя ГП НО «НОФ» (доверенность № 07/04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0"/>
        <w:jc w:val="both"/>
      </w:pPr>
      <w:r>
        <w:rPr>
          <w:rStyle w:val="CharStyle16"/>
        </w:rPr>
        <w:t>07.04.2026);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  <w:tab w:pos="239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Кондратьева ,</w:t>
        <w:tab/>
        <w:t>-представителя ГП НО «НОФ» (доверенность № 07/04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0"/>
        <w:jc w:val="both"/>
      </w:pPr>
      <w:r>
        <w:rPr>
          <w:rStyle w:val="CharStyle16"/>
        </w:rPr>
        <w:t>07.04.2026),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16"/>
        </w:rPr>
        <w:t>рассмотрев жалобу ООО «Генос» (далее - Заявитель) на действия ГП НО «НОФ» (далее - Заказчик) при проведении запроса котировок в электронной форме по объекту закупки: «Ц-8751_Закупка медицинских изделий», номер извещения 0432200000826004965 (далее — Закупка),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560"/>
        <w:jc w:val="both"/>
      </w:pPr>
      <w:r>
        <w:rPr>
          <w:rStyle w:val="CharStyle16"/>
        </w:rPr>
        <w:t>в Управление Федеральной антимонопольной службы по Нижегородской области (далее также - Нижегородское УФАС России, Управление) поступила жалоба Заявителя на действия Заказчика при проведении Закупки.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298575" cy="41465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Согласно доводам жалобы Заявитель указывает на неправомерное, по его мнению, установление в описании объекта закупки дополнительных характеристик «Кабель соединительный для ЭКГ-контроля установки» и «Адгезивный фиксатор катетера», которые, как полагает заявитель, не обусловлены объективной потребностью заказчика и приводят к ограничению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Подробная позиция Заявителя (жалоба) с приложенными к ней документами приобщена к материалам дела и полностью изучена Комиссией.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Нижегородское УФАС России приняло к рассмотрению жалобу Заявителя и назначило её рассмотрение на </w:t>
      </w:r>
      <w:r>
        <w:rPr>
          <w:rStyle w:val="CharStyle16"/>
          <w:lang w:val="en-US" w:eastAsia="en-US"/>
        </w:rPr>
        <w:t xml:space="preserve">12.10.2026 </w:t>
      </w:r>
      <w:r>
        <w:rPr>
          <w:rStyle w:val="CharStyle16"/>
        </w:rPr>
        <w:t xml:space="preserve">(уведомление о рассмотрении жалобы от </w:t>
      </w:r>
      <w:r>
        <w:rPr>
          <w:rStyle w:val="CharStyle16"/>
          <w:lang w:val="en-US" w:eastAsia="en-US"/>
        </w:rPr>
        <w:t xml:space="preserve">08.10.2026 </w:t>
      </w:r>
      <w:r>
        <w:rPr>
          <w:rStyle w:val="CharStyle16"/>
        </w:rPr>
        <w:t>№ИК/19913/26).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целях полного, всестороннего и объективного рассмотрения дела в заседании Комиссии объявлен перерыв до </w:t>
      </w:r>
      <w:r>
        <w:rPr>
          <w:rStyle w:val="CharStyle16"/>
          <w:lang w:val="en-US" w:eastAsia="en-US"/>
        </w:rPr>
        <w:t>13.10.2026.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Заседание Комиссии Нижегородского УФАС России прошло в указанные даты посредством видео-конференц-связи с участием представителей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Заявитель явку своего представителя не обеспечил, о причинах неявки не сообщил, уведомлен надлежащим образом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Заказчик с доводами жалобы не согласился, представил возражения, согласно которым: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 xml:space="preserve">«Заказчиком в описании объекта закупки были использованы следующие позиции из каталога товаров, работ, услуг (далее </w:t>
      </w:r>
      <w:r>
        <w:rPr>
          <w:rStyle w:val="CharStyle16"/>
          <w:i/>
          <w:iCs/>
          <w:lang w:val="en-US" w:eastAsia="en-US"/>
        </w:rPr>
        <w:t xml:space="preserve">— </w:t>
      </w:r>
      <w:r>
        <w:rPr>
          <w:rStyle w:val="CharStyle16"/>
          <w:i/>
          <w:iCs/>
        </w:rPr>
        <w:t>КТРУ):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  <w:lang w:val="en-US" w:eastAsia="en-US"/>
        </w:rPr>
        <w:t xml:space="preserve">32.50.13.110-00005159 — </w:t>
      </w:r>
      <w:r>
        <w:rPr>
          <w:rStyle w:val="CharStyle16"/>
          <w:i/>
          <w:iCs/>
        </w:rPr>
        <w:t>Набор для катетеризации центральных вен, кратковременного использования;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 xml:space="preserve">Дополнительные характеристики, включённые в описание объекта закупки, были обоснованы в соответствии с пунктом </w:t>
      </w:r>
      <w:r>
        <w:rPr>
          <w:rStyle w:val="CharStyle16"/>
          <w:i/>
          <w:iCs/>
          <w:lang w:val="en-US" w:eastAsia="en-US"/>
        </w:rPr>
        <w:t xml:space="preserve">5 </w:t>
      </w:r>
      <w:r>
        <w:rPr>
          <w:rStyle w:val="CharStyle16"/>
          <w:i/>
          <w:iCs/>
        </w:rPr>
        <w:t>Правил, исходя из объективных потребностей Заказчика и сложившейся клинической практики.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 xml:space="preserve">По информации Заказчика, описанию объекта закупки соответствуют как минимум </w:t>
      </w:r>
      <w:r>
        <w:rPr>
          <w:rStyle w:val="CharStyle16"/>
          <w:i/>
          <w:iCs/>
          <w:lang w:val="en-US" w:eastAsia="en-US"/>
        </w:rPr>
        <w:t xml:space="preserve">4 </w:t>
      </w:r>
      <w:r>
        <w:rPr>
          <w:rStyle w:val="CharStyle16"/>
          <w:i/>
          <w:iCs/>
        </w:rPr>
        <w:t xml:space="preserve">(четыре) производителя, представленные в Приложении </w:t>
      </w:r>
      <w:r>
        <w:rPr>
          <w:rStyle w:val="CharStyle16"/>
          <w:i/>
          <w:iCs/>
          <w:lang w:val="en-US" w:eastAsia="en-US"/>
        </w:rPr>
        <w:t xml:space="preserve">1 </w:t>
      </w:r>
      <w:r>
        <w:rPr>
          <w:rStyle w:val="CharStyle16"/>
          <w:i/>
          <w:iCs/>
        </w:rPr>
        <w:t>к настоящему возражению.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 xml:space="preserve">Касательно установления требований по наличию следующих параметров в описании объекта закупки: «кабель соединительный для ЭКГ-контроля»; «адгезивный фиксатор катетера» </w:t>
      </w:r>
      <w:r>
        <w:rPr>
          <w:rStyle w:val="CharStyle16"/>
          <w:i/>
          <w:iCs/>
          <w:lang w:val="en-US" w:eastAsia="en-US"/>
        </w:rPr>
        <w:t xml:space="preserve">— </w:t>
      </w:r>
      <w:r>
        <w:rPr>
          <w:rStyle w:val="CharStyle16"/>
          <w:i/>
          <w:iCs/>
        </w:rPr>
        <w:t xml:space="preserve">поясняем, что данные требования сформированы исходя из клинического опыта нескольких ЛПУ. Например, наборы с ЭКГ-кабелем и адгезивным фиксатором катетера выбирают, когда важна максимальная точность при установке, в том числе в сложных анатомических случаях. ЭКГ-контроль необходим во время установки центрального венозного катетера. Суть в том, что кончик катетера работает как внутренний электрод: он улавливает электрические сигналы сердца (например, зубец </w:t>
      </w:r>
      <w:r>
        <w:rPr>
          <w:rStyle w:val="CharStyle16"/>
          <w:i/>
          <w:iCs/>
          <w:lang w:val="en-US" w:eastAsia="en-US"/>
        </w:rPr>
        <w:t xml:space="preserve">P), </w:t>
      </w:r>
      <w:r>
        <w:rPr>
          <w:rStyle w:val="CharStyle16"/>
          <w:i/>
          <w:iCs/>
        </w:rPr>
        <w:t>когда приближается к нужным структурам (границе верхней полой вены и правого предсердия). Сигнал по кабелю передаётся на монитор врача. По изменениям формы и амплитуды зубца доктор понимает, правильно ли продвигается катетер, и может сразу скорректировать его положение. Это помогает избежать осложнений: перфорации стенки сосуда, аритмий или ситуации, когда катетер просто не выполняет свою функцию. Более того, в ряде случаев такой контроль позволяет обойтись без немедленного рентгенологического подтверждения положения, что снижает лучевую нагрузку. При этом возникают обратные ситуации, когда необходимость ЭКГ-контроля отпадает по ряду следующих причин: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Есть надёжный альтернативный метод визуализации. Если врач активно использует ультразвук (УЗ-контроль) и чётко видит положение кончика катетера в реальном времени, потребность в ЭКГ-сигнале отпадает.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Процедура простая и предсказуемая. Если анатомия пациента стандартная, вена легко доступна, а у врача большой опыт подобных манипуляций, риск «промаха» минимален, и дополнительный контроль может не потребоваться.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Экстренная ситуация. Когда счёт идёт на минуты и нужно срочно обеспечить сосудистый доступ (например, при тяжёлом шоке, необходимости быстрого введения больших объёмов растворов или вазоактивных препаратов), врач может принять решение не тратить время на подключение ЭКГ-кабеля, а действовать быстрее.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В конкретном медицинском учреждении просто нет подходящего монитора или адаптера для преобразования сигнала, либо сам набор для катетеризации не предусматривает ЭКГ-кабель.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Адгезивный фиксатор катетера обеспечивает несколько функций: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 xml:space="preserve">Предотвращает смещение, миграцию или случайное выпадение катетера, когда пациент двигается </w:t>
      </w:r>
      <w:r>
        <w:rPr>
          <w:rStyle w:val="CharStyle16"/>
          <w:i/>
          <w:iCs/>
          <w:lang w:val="en-US" w:eastAsia="en-US"/>
        </w:rPr>
        <w:t xml:space="preserve">— </w:t>
      </w:r>
      <w:r>
        <w:rPr>
          <w:rStyle w:val="CharStyle16"/>
          <w:i/>
          <w:iCs/>
        </w:rPr>
        <w:t>спит, принимает душ, меняет положение тела.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Обеспечивает герметичность в месте выхода катетера из кожи. Это снижает риск экссудации (выделения жидкости), небольшого кровотечения и создаёт барьер, который затрудняет проникновение микроорганизмов.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При этом в некоторых случаях можно отказаться от его использования в следующих случаях: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Есть альтернативный надёжный способ фиксации. Например, если катетер дополнительно фиксируют швами или используют специальные фиксирующие ленты/устройства, которые обеспечивают достаточную стабильность.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 xml:space="preserve">Пациент находится в состоянии, при котором адгезив не удержится. Если человек сильно потеет, у него нарушена целостность кожи (есть раздражение, мокнутие), или он находится в спутанном сознании и может случайно отклеить фиксатор </w:t>
      </w:r>
      <w:r>
        <w:rPr>
          <w:rStyle w:val="CharStyle16"/>
          <w:i/>
          <w:iCs/>
          <w:lang w:val="en-US" w:eastAsia="en-US"/>
        </w:rPr>
        <w:t xml:space="preserve">— </w:t>
      </w:r>
      <w:r>
        <w:rPr>
          <w:rStyle w:val="CharStyle16"/>
          <w:i/>
          <w:iCs/>
        </w:rPr>
        <w:t>риск отслоения слишком высок, и врач может выбрать другой метод.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У пациента есть индивидуальная непереносимость компонентов фиксатора (например, контактный дерматит на клей), врач подбирает альтернативное решение.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i/>
          <w:iCs/>
        </w:rPr>
        <w:t>Процедура краткосрочная и малоподвижная. Если катетер устанавливают на очень короткий срок, а пациент будет находиться в статичном положении (например, в операционной или в отделении интенсивной терапии под строгим наблюдением), врач может счесть дополнительную фиксацию излишней».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Полный текст жалобы Заявителя, возражений Заказчика и приложения к ним имеются в материалах дела и изучены Комиссией антимонопольного органа.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Комиссия Управления Федеральной антимонопольной службы по Нижегородской области по контролю в сфере закупок, исследовав материалы дела и осуществив внеплановую проверку рассматриваемой закупки в соответствии с требованиями 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системе, пришла к следующим выводам.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  <w:lang w:val="en-US" w:eastAsia="en-US"/>
        </w:rPr>
        <w:t xml:space="preserve">28.09.2026 </w:t>
      </w:r>
      <w:r>
        <w:rPr>
          <w:rStyle w:val="CharStyle16"/>
        </w:rPr>
        <w:t xml:space="preserve">в единой информационной системе в сфере закупок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ЕИС) и на сайте ЭТП Газпромбанк размещено извещение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способ определения поставщика (подрядчика, исполнителя): Запрос котировок в электронной форме;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5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начальная (максимальная) цена контракта: </w:t>
      </w:r>
      <w:r>
        <w:rPr>
          <w:rStyle w:val="CharStyle16"/>
          <w:lang w:val="en-US" w:eastAsia="en-US"/>
        </w:rPr>
        <w:t xml:space="preserve">10 499 029,85 </w:t>
      </w:r>
      <w:r>
        <w:rPr>
          <w:rStyle w:val="CharStyle16"/>
        </w:rPr>
        <w:t>руб.;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дата и время окончания срока подачи заявок на участие в Закупке </w:t>
      </w:r>
      <w:r>
        <w:rPr>
          <w:rStyle w:val="CharStyle16"/>
          <w:lang w:val="en-US" w:eastAsia="en-US"/>
        </w:rPr>
        <w:t xml:space="preserve">– 28.09.2026 14:58 </w:t>
      </w:r>
      <w:r>
        <w:rPr>
          <w:rStyle w:val="CharStyle16"/>
        </w:rPr>
        <w:t>(МСК);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дата подведения итогов определения поставщика (подрядчика, исполнителя) </w:t>
      </w:r>
      <w:r>
        <w:rPr>
          <w:rStyle w:val="CharStyle16"/>
          <w:lang w:val="en-US" w:eastAsia="en-US"/>
        </w:rPr>
        <w:t>— 09.10.2026.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Согласно статье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>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Закона о контрактной,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извещение об осуществлении закупки, если иное не предусмотрено Законом о контрактной, должно содержать следующие электронные документы: описание объекта закупки в соответствии со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сопровождение такого указания словами «или эквивалент»;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 и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Согласно постановлению Правительства РФ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Постановление Правительства </w:t>
      </w:r>
      <w:r>
        <w:rPr>
          <w:rStyle w:val="CharStyle16"/>
          <w:lang w:val="en-US" w:eastAsia="en-US"/>
        </w:rPr>
        <w:t xml:space="preserve">№ 145) </w:t>
      </w:r>
      <w:r>
        <w:rPr>
          <w:rStyle w:val="CharStyle16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Правила формирования каталога),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Правила использования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Правил использования каталога, Заказчики обязаны применять информацию, включенную в позицию каталога в соответствии с подпунктами «б»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«г» и «е»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«з» пункта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февраля </w:t>
      </w:r>
      <w:r>
        <w:rPr>
          <w:rStyle w:val="CharStyle16"/>
          <w:lang w:val="en-US" w:eastAsia="en-US"/>
        </w:rPr>
        <w:t xml:space="preserve">2017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145. </w:t>
      </w:r>
      <w:r>
        <w:rPr>
          <w:rStyle w:val="CharStyle16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5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При это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Федерального закона, которые не предусмотрены в позиции каталога, за исключением случаев: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6"/>
          <w:lang w:val="en-US" w:eastAsia="en-US"/>
        </w:rPr>
        <w:t xml:space="preserve">25, 26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32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1 </w:t>
      </w:r>
      <w:r>
        <w:rPr>
          <w:rStyle w:val="CharStyle16"/>
        </w:rPr>
        <w:t xml:space="preserve">к постановлению Правительства Российской Федерации от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 xml:space="preserve">декабря </w:t>
      </w:r>
      <w:r>
        <w:rPr>
          <w:rStyle w:val="CharStyle16"/>
          <w:lang w:val="en-US" w:eastAsia="en-US"/>
        </w:rPr>
        <w:t xml:space="preserve">2024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</w:t>
      </w:r>
      <w:r>
        <w:rPr>
          <w:rStyle w:val="CharStyle16"/>
          <w:lang w:val="en-US" w:eastAsia="en-US"/>
        </w:rPr>
        <w:t xml:space="preserve">191 - 361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указанному постановлению, применяются предусмотренные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указанного постановления запрет, ограничение соответственно;</w:t>
      </w:r>
    </w:p>
    <w:p>
      <w:pPr>
        <w:pStyle w:val="Style1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случае предоставления дополнительной информации, предусмотренной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При описании объекта закупки Заказчик соответствующие позиции КТРУ не применил.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Правил использования каталога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Закона. При проведении предусмотренных Законом электронных процедур, закрытых электронных процедур характеристики объекта закупки, предусмотренные пункте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42, </w:t>
      </w:r>
      <w:r>
        <w:rPr>
          <w:rStyle w:val="CharStyle16"/>
        </w:rPr>
        <w:t xml:space="preserve">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75 </w:t>
      </w:r>
      <w:r>
        <w:rPr>
          <w:rStyle w:val="CharStyle16"/>
        </w:rPr>
        <w:t>Закона, соответственно.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На основании пункта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Правил использования каталога, в случае размещения извещения об осуществлении закупки, направления приглашения, а также заключения контракта с единственным поставщиком (подрядчиком, исполнителем) до наступления даты начала обязательного применения соответствующей позиции каталога заказчик до завершения закупки вправе руководствоваться пунктом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>Правил.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Комиссией установлено, что описание объекта закупки содержит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позиции, которым присвоен код КТРУ </w:t>
      </w:r>
      <w:r>
        <w:rPr>
          <w:rStyle w:val="CharStyle16"/>
          <w:lang w:val="en-US" w:eastAsia="en-US"/>
        </w:rPr>
        <w:t xml:space="preserve">32.50.13.110-00005159. </w:t>
      </w:r>
      <w:r>
        <w:rPr>
          <w:rStyle w:val="CharStyle16"/>
        </w:rPr>
        <w:t xml:space="preserve">При этом требования к наличию дополнительных компонентов распределены следующим образом: соединительный кабель для ЭКГ-контроля установки предусмотрен в </w:t>
      </w:r>
      <w:r>
        <w:rPr>
          <w:rStyle w:val="CharStyle16"/>
          <w:lang w:val="en-US" w:eastAsia="en-US"/>
        </w:rPr>
        <w:t xml:space="preserve">11 </w:t>
      </w:r>
      <w:r>
        <w:rPr>
          <w:rStyle w:val="CharStyle16"/>
        </w:rPr>
        <w:t xml:space="preserve">позициях в количестве </w:t>
      </w:r>
      <w:r>
        <w:rPr>
          <w:rStyle w:val="CharStyle16"/>
          <w:lang w:val="en-US" w:eastAsia="en-US"/>
        </w:rPr>
        <w:t xml:space="preserve">435 </w:t>
      </w:r>
      <w:r>
        <w:rPr>
          <w:rStyle w:val="CharStyle16"/>
        </w:rPr>
        <w:t xml:space="preserve">штук; адгезивный фиксатор катетера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в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позициях в количестве </w:t>
      </w:r>
      <w:r>
        <w:rPr>
          <w:rStyle w:val="CharStyle16"/>
          <w:lang w:val="en-US" w:eastAsia="en-US"/>
        </w:rPr>
        <w:t xml:space="preserve">165 </w:t>
      </w:r>
      <w:r>
        <w:rPr>
          <w:rStyle w:val="CharStyle16"/>
        </w:rPr>
        <w:t xml:space="preserve">штук. Одновременное наличие обоих компонентов предусмотрено в позициях </w:t>
      </w:r>
      <w:r>
        <w:rPr>
          <w:rStyle w:val="CharStyle16"/>
          <w:lang w:val="en-US" w:eastAsia="en-US"/>
        </w:rPr>
        <w:t xml:space="preserve">№ 1, 9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10. </w:t>
      </w:r>
      <w:r>
        <w:rPr>
          <w:rStyle w:val="CharStyle16"/>
        </w:rPr>
        <w:t>В остальных позициях указанные требования отсутствуют.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Таким образом, при закупке медицинских изделий одного вида и с единым кодом КТРУ заказчиком установлены различающиеся требования к составу наборов. Само по себе такое различие не свидетельствует о нарушении законодательства, поскольку потребность заказчика в отдельных характеристиках может зависеть от условий применения товара. Вместе с тем соответствующие различия должны быть обусловлены объективной потребностью заказчика и иметь достаточное обоснование.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Комиссия учитывает, что соединительный кабель для ЭКГ-контроля установки и адгезивный фиксатор катетера могут обладать функциональным назначением, связанным с использованием медицинского изделия. Однако наличие у характеристики определённого функционального назначения само по себе не подтверждает необходимость её установления именно в выбранных заказчиком позициях и не освобождает заказчика от обязанности соблюдать требования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 и Правил использования КТРУ.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При оценке доводов жалобы также принято во внимание, что заявителем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представлены сведения о наличии на рынке медицинских изделий различных производителей, отличающихся по комплектации и способам фиксации катетера.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 ходе рассмотрения жалобы заказчику была предоставлена возможность представить сведения и документы, подтверждающие наличие не менее двух производителей медицинских изделий, продукция которых в полном объёме соответствует требованиям описания объекта закупки, включая совокупность установленных характеристик и комплектацию наборов.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Вместе с тем представленные заказчиком материалы не подтверждают указанное обстоятельство, поскольку в отношении представленных образцов продукции выявлены несоответствия отдельных характеристик требованиям, установленным в описании объекта закупки. Таким образом, представленные сведения не позволяют сделать вывод о наличии не менее двух производителей, продукция которых полностью отвечает совокупности требований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При таких обстоятельствах представленные заказчиком материалы не могут быть признаны достаточным подтверждением того, что установленные требования обеспечивают возможность поставки продукции различных производителей, полностью соответствующей описанию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 то же время отсутствие документального подтверждения соответствия продукции двух производителей не устраняет необходимости проверки объективности установленных требований. Определяющее значение имеет то, обусловлено ли включение спорных характеристик реальной потребностью заказчика и соблюдены ли предусмотренные законодательством требования к использованию дополнительных характеристик КТРУ.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При установлении дополнительных характеристик заказчик должен исходить из потребности в конкретных функциональных и технических свойствах товара, а не из характеристик отдельной модели или комплектации без достаточного объективного обоснования.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рассматриваемом случае различия в требованиях к составу наборов, предусмотренных одним кодом КТРУ, требуют обоснования с точки зрения потребности в наличии ЭКГ-кабеля и адгезивного фиксатора только в отдельных позициях. При отсутствии надлежащего обоснования необходимости установления таких характеристик описание объекта закупки не отвечает требованию объективности, предусмотренному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44-ФЗ, а также не соответствует требованиям Правил использования КТРУ в части обоснования дополнительных характеристик.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Принимая во внимание изложенное, Комиссия приходит к выводу о наличии оснований для признания жалобы ООО «ГЕНОС» 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Таким образом, Заказчиком нарушены требования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При указанных обстоятельствах Комиссия Нижегородского УФАС России установила нарушение Заказчиком 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23,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системе, пункта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Правил </w:t>
      </w:r>
      <w:r>
        <w:rPr>
          <w:rStyle w:val="CharStyle16"/>
          <w:lang w:val="en-US" w:eastAsia="en-US"/>
        </w:rPr>
        <w:t>№145.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о выдаче предписания об устранении допущенных нарушений, предусмотренного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Поскольку выявленные нарушения являются существенными Комиссия полагает необходимым выдать Заказчику обязательное для исполнения предписание.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16"/>
        </w:rPr>
        <w:t xml:space="preserve">На основании изложенного и руководствуясь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 Нижегородского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44" w:val="left"/>
          <w:tab w:pos="1507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Признать Жалобу ООО «Генос»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Заявитель) на действия ГП НО «НОФ»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Заказчик) при проведении запроса котировок в электронной форме по объекту закупки:</w:t>
        <w:tab/>
        <w:t>«Ц-8751_Закупка медицинских изделий», номер извещения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0432200000826004965, </w:t>
      </w:r>
      <w:r>
        <w:rPr>
          <w:rStyle w:val="CharStyle16"/>
        </w:rPr>
        <w:t>обоснованной;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признать в действиях Заказчика нарушение 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23,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системе, пункта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Правил </w:t>
      </w:r>
      <w:r>
        <w:rPr>
          <w:rStyle w:val="CharStyle16"/>
          <w:lang w:val="en-US" w:eastAsia="en-US"/>
        </w:rPr>
        <w:t>№145;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39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выдать Заказчику обязательное для исполнения предписание;</w:t>
      </w:r>
    </w:p>
    <w:p>
      <w:pPr>
        <w:pStyle w:val="Style1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передать материалы дела уполномоченному должностному лицу Нижегородского УФАС России для рассмотрения вопроса о возможности возбуждения административного производства в отношении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настоящее решение может быть обжаловано в судебном порядке в течение трех месяцев со дня его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9" w:right="535" w:bottom="1483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93065" distB="194945" distL="0" distR="0" simplePos="0" relativeHeight="125829383" behindDoc="0" locked="0" layoutInCell="1" allowOverlap="1">
                <wp:simplePos x="0" y="0"/>
                <wp:positionH relativeFrom="page">
                  <wp:posOffset>841375</wp:posOffset>
                </wp:positionH>
                <wp:positionV relativeFrom="paragraph">
                  <wp:posOffset>393065</wp:posOffset>
                </wp:positionV>
                <wp:extent cx="1807210" cy="24384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72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6.25pt;margin-top:30.949999999999999pt;width:142.30000000000001pt;height:19.199999999999999pt;z-index:-125829370;mso-wrap-distance-left:0;mso-wrap-distance-top:30.949999999999999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487680" distL="0" distR="1816735" simplePos="0" relativeHeight="125829385" behindDoc="0" locked="0" layoutInCell="1" allowOverlap="1">
            <wp:simplePos x="0" y="0"/>
            <wp:positionH relativeFrom="page">
              <wp:posOffset>2831465</wp:posOffset>
            </wp:positionH>
            <wp:positionV relativeFrom="paragraph">
              <wp:posOffset>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3221355</wp:posOffset>
                </wp:positionH>
                <wp:positionV relativeFrom="paragraph">
                  <wp:posOffset>60960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3.65000000000001pt;margin-top:4.7999999999999998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7825" distB="353695" distL="0" distR="0" simplePos="0" relativeHeight="125829386" behindDoc="0" locked="0" layoutInCell="1" allowOverlap="1">
                <wp:simplePos x="0" y="0"/>
                <wp:positionH relativeFrom="page">
                  <wp:posOffset>3264535</wp:posOffset>
                </wp:positionH>
                <wp:positionV relativeFrom="paragraph">
                  <wp:posOffset>377825</wp:posOffset>
                </wp:positionV>
                <wp:extent cx="1280160" cy="1003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7.05000000000001pt;margin-top:29.75pt;width:100.8pt;height:7.9000000000000004pt;z-index:-125829367;mso-wrap-distance-left:0;mso-wrap-distance-top:29.75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0" distL="0" distR="0" simplePos="0" relativeHeight="125829388" behindDoc="0" locked="0" layoutInCell="1" allowOverlap="1">
                <wp:simplePos x="0" y="0"/>
                <wp:positionH relativeFrom="page">
                  <wp:posOffset>2813685</wp:posOffset>
                </wp:positionH>
                <wp:positionV relativeFrom="paragraph">
                  <wp:posOffset>533400</wp:posOffset>
                </wp:positionV>
                <wp:extent cx="2197735" cy="2984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Канаева Ирина Сергеевна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00C0B702B4B52D40D7A483D5EEEFDC0E3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18.09.2025 </w:t>
                            </w:r>
                            <w:r>
                              <w:rPr>
                                <w:rStyle w:val="CharStyle21"/>
                                <w:color w:val="5E5E5E"/>
                              </w:rPr>
                              <w:t xml:space="preserve">по </w:t>
                            </w:r>
                            <w:r>
                              <w:rPr>
                                <w:rStyle w:val="CharStyle21"/>
                              </w:rPr>
                              <w:t>12.12.2026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21.55000000000001pt;margin-top:42.pt;width:173.05000000000001pt;height:23.5pt;z-index:-125829365;mso-wrap-distance-left:0;mso-wrap-distance-top:42.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Канаева Ирина Сергеевна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00C0B702B4B52D40D7A483D5EEEFDC0E3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18.09.2025 </w:t>
                      </w:r>
                      <w:r>
                        <w:rPr>
                          <w:rStyle w:val="CharStyle21"/>
                          <w:color w:val="5E5E5E"/>
                        </w:rPr>
                        <w:t xml:space="preserve">по </w:t>
                      </w:r>
                      <w:r>
                        <w:rPr>
                          <w:rStyle w:val="CharStyle21"/>
                        </w:rPr>
                        <w:t>12.12.2026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065" distB="194945" distL="0" distR="0" simplePos="0" relativeHeight="125829390" behindDoc="0" locked="0" layoutInCell="1" allowOverlap="1">
                <wp:simplePos x="0" y="0"/>
                <wp:positionH relativeFrom="page">
                  <wp:posOffset>5648325</wp:posOffset>
                </wp:positionH>
                <wp:positionV relativeFrom="paragraph">
                  <wp:posOffset>393065</wp:posOffset>
                </wp:positionV>
                <wp:extent cx="984250" cy="24384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И.С. Канаева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44.75pt;margin-top:30.949999999999999pt;width:77.5pt;height:19.199999999999999pt;z-index:-125829363;mso-wrap-distance-left:0;mso-wrap-distance-top:30.949999999999999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И.С. Канаева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49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6"/>
        </w:rPr>
        <w:t>Члены комиссии:</w:t>
      </w:r>
    </w:p>
    <w:p>
      <w:pPr>
        <w:widowControl w:val="0"/>
        <w:spacing w:line="1" w:lineRule="exact"/>
      </w:pPr>
      <w:r>
        <w:drawing>
          <wp:anchor distT="114300" distB="0" distL="0" distR="1816735" simplePos="0" relativeHeight="125829392" behindDoc="0" locked="0" layoutInCell="1" allowOverlap="1">
            <wp:simplePos x="0" y="0"/>
            <wp:positionH relativeFrom="page">
              <wp:posOffset>2831465</wp:posOffset>
            </wp:positionH>
            <wp:positionV relativeFrom="paragraph">
              <wp:posOffset>114300</wp:posOffset>
            </wp:positionV>
            <wp:extent cx="298450" cy="34734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3218815</wp:posOffset>
                </wp:positionH>
                <wp:positionV relativeFrom="paragraph">
                  <wp:posOffset>175260</wp:posOffset>
                </wp:positionV>
                <wp:extent cx="1725295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3.45000000000002pt;margin-top:13.80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0480" distB="353695" distL="0" distR="0" simplePos="0" relativeHeight="125829393" behindDoc="0" locked="0" layoutInCell="1" allowOverlap="1">
                <wp:simplePos x="0" y="0"/>
                <wp:positionH relativeFrom="page">
                  <wp:posOffset>3264535</wp:posOffset>
                </wp:positionH>
                <wp:positionV relativeFrom="paragraph">
                  <wp:posOffset>30480</wp:posOffset>
                </wp:positionV>
                <wp:extent cx="1280160" cy="1003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7.05000000000001pt;margin-top:2.3999999999999999pt;width:100.8pt;height:7.9000000000000004pt;z-index:-125829360;mso-wrap-distance-left:0;mso-wrap-distance-top:2.3999999999999999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055" distB="0" distL="0" distR="0" simplePos="0" relativeHeight="125829395" behindDoc="0" locked="0" layoutInCell="1" allowOverlap="1">
                <wp:simplePos x="0" y="0"/>
                <wp:positionH relativeFrom="page">
                  <wp:posOffset>2813685</wp:posOffset>
                </wp:positionH>
                <wp:positionV relativeFrom="paragraph">
                  <wp:posOffset>186055</wp:posOffset>
                </wp:positionV>
                <wp:extent cx="2212975" cy="2984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Королёва Ирина Андреевна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00C37A327BDE0B3DCB5E7D45FE744668C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(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</w:t>
                            </w:r>
                            <w:r>
                              <w:rPr>
                                <w:rStyle w:val="CharStyle21"/>
                                <w:color w:val="5E5E5E"/>
                              </w:rPr>
                              <w:t xml:space="preserve">30.12.2025 по </w:t>
                            </w:r>
                            <w:r>
                              <w:rPr>
                                <w:rStyle w:val="CharStyle21"/>
                              </w:rPr>
                              <w:t>25.03.2027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21.55000000000001pt;margin-top:14.65pt;width:174.25pt;height:23.5pt;z-index:-125829358;mso-wrap-distance-left:0;mso-wrap-distance-top:14.65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Королёва Ирина Андреевна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00C37A327BDE0B3DCB5E7D45FE744668C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(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</w:t>
                      </w:r>
                      <w:r>
                        <w:rPr>
                          <w:rStyle w:val="CharStyle21"/>
                          <w:color w:val="5E5E5E"/>
                        </w:rPr>
                        <w:t xml:space="preserve">30.12.2025 по </w:t>
                      </w:r>
                      <w:r>
                        <w:rPr>
                          <w:rStyle w:val="CharStyle21"/>
                        </w:rPr>
                        <w:t>25.03.2027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43840" distL="0" distR="0" simplePos="0" relativeHeight="125829397" behindDoc="0" locked="0" layoutInCell="1" allowOverlap="1">
                <wp:simplePos x="0" y="0"/>
                <wp:positionH relativeFrom="page">
                  <wp:posOffset>5617845</wp:posOffset>
                </wp:positionH>
                <wp:positionV relativeFrom="paragraph">
                  <wp:posOffset>0</wp:posOffset>
                </wp:positionV>
                <wp:extent cx="1042670" cy="24066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И.А.Королева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42.35000000000002pt;margin-top:0;width:82.100000000000009pt;height:18.949999999999999pt;z-index:-125829356;mso-wrap-distance-left:0;mso-wrap-distance-right:0;mso-wrap-distance-bottom:19.1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И.А.Королева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5" w:bottom="1495" w:left="1101" w:header="0" w:footer="3" w:gutter="0"/>
          <w:cols w:space="720"/>
          <w:noEndnote/>
          <w:rtlGutter w:val="0"/>
          <w:docGrid w:linePitch="360"/>
        </w:sectPr>
      </w:pPr>
      <w:r>
        <w:drawing>
          <wp:anchor distT="444500" distB="186055" distL="0" distR="1816735" simplePos="0" relativeHeight="125829399" behindDoc="0" locked="0" layoutInCell="1" allowOverlap="1">
            <wp:simplePos x="0" y="0"/>
            <wp:positionH relativeFrom="page">
              <wp:posOffset>2831465</wp:posOffset>
            </wp:positionH>
            <wp:positionV relativeFrom="paragraph">
              <wp:posOffset>444500</wp:posOffset>
            </wp:positionV>
            <wp:extent cx="298450" cy="34734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3221355</wp:posOffset>
                </wp:positionH>
                <wp:positionV relativeFrom="paragraph">
                  <wp:posOffset>505460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3.65000000000001pt;margin-top:39.800000000000004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22325" distB="52070" distL="0" distR="0" simplePos="0" relativeHeight="125829400" behindDoc="0" locked="0" layoutInCell="1" allowOverlap="1">
                <wp:simplePos x="0" y="0"/>
                <wp:positionH relativeFrom="page">
                  <wp:posOffset>3261360</wp:posOffset>
                </wp:positionH>
                <wp:positionV relativeFrom="paragraph">
                  <wp:posOffset>822325</wp:posOffset>
                </wp:positionV>
                <wp:extent cx="1283335" cy="1003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56.80000000000001pt;margin-top:64.75pt;width:101.05pt;height:7.9000000000000004pt;z-index:-125829353;mso-wrap-distance-left:0;mso-wrap-distance-top:64.75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1845" distB="0" distL="0" distR="0" simplePos="0" relativeHeight="125829402" behindDoc="0" locked="0" layoutInCell="1" allowOverlap="1">
                <wp:simplePos x="0" y="0"/>
                <wp:positionH relativeFrom="page">
                  <wp:posOffset>5641975</wp:posOffset>
                </wp:positionH>
                <wp:positionV relativeFrom="paragraph">
                  <wp:posOffset>791845</wp:posOffset>
                </wp:positionV>
                <wp:extent cx="990600" cy="18288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Е.С. Железов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44.25pt;margin-top:62.350000000000001pt;width:78.pt;height:14.4pt;z-index:-125829351;mso-wrap-distance-left:0;mso-wrap-distance-top:62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Е.С. Железов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Железов Евгений Сергеевич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00F3D8B84BF14FAF6C17D2409D2067ABC</w:t>
      </w:r>
      <w:r>
        <w:rPr>
          <w:rStyle w:val="CharStyle21"/>
          <w:lang w:val="en-US" w:eastAsia="en-US"/>
        </w:rPr>
        <w:t>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3340" w:right="0" w:firstLine="0"/>
        <w:jc w:val="left"/>
      </w:pPr>
      <w:r>
        <w:rPr>
          <w:rStyle w:val="CharStyle21"/>
        </w:rPr>
        <w:t xml:space="preserve">Действителен с 02.04.2026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26.06.2027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Исп.Железов Е.С.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28"/>
        </w:rPr>
        <w:t>тел.052-803 431-73-88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5" w:bottom="11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800100</wp:posOffset>
              </wp:positionH>
              <wp:positionV relativeFrom="page">
                <wp:posOffset>10206355</wp:posOffset>
              </wp:positionV>
              <wp:extent cx="71628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2026-24156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3.pt;margin-top:803.64999999999998pt;width:56.3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2026-24156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903605</wp:posOffset>
              </wp:positionH>
              <wp:positionV relativeFrom="page">
                <wp:posOffset>10031730</wp:posOffset>
              </wp:positionV>
              <wp:extent cx="71628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2026-24156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1.150000000000006pt;margin-top:789.89999999999998pt;width:56.3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2026-24156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