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609600</wp:posOffset>
                </wp:positionV>
                <wp:extent cx="2581910" cy="216408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8.pt;width:203.30000000000001pt;height:170.4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22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531" w:bottom="296" w:left="52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ФНКЦ РР </w:t>
      </w:r>
      <w:r>
        <w:fldChar w:fldCharType="begin"/>
      </w:r>
      <w:r>
        <w:rPr/>
        <w:instrText> HYPERLINK "mailto:zakupki@fnkcrr.ru" </w:instrText>
      </w:r>
      <w:r>
        <w:fldChar w:fldCharType="separate"/>
      </w:r>
      <w:r>
        <w:rPr>
          <w:rStyle w:val="CharStyle7"/>
          <w:lang w:val="en-US" w:eastAsia="en-US"/>
        </w:rPr>
        <w:t>zakupki@fnkcrr.ru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УК «ЭЙКОСЪ» </w:t>
      </w:r>
      <w:r>
        <w:fldChar w:fldCharType="begin"/>
      </w:r>
      <w:r>
        <w:rPr/>
        <w:instrText> HYPERLINK "mailto:ukeikos@ukeikos.ru" </w:instrText>
      </w:r>
      <w:r>
        <w:fldChar w:fldCharType="separate"/>
      </w:r>
      <w:r>
        <w:rPr>
          <w:rStyle w:val="CharStyle7"/>
          <w:lang w:val="en-US" w:eastAsia="en-US"/>
        </w:rPr>
        <w:t>ukeikos@ukeikos.ru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ЭТП ТЭК-Торг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7"/>
          <w:lang w:val="en-US" w:eastAsia="en-US"/>
        </w:rPr>
        <w:t>help@tektorg.ru</w:t>
      </w:r>
      <w:r>
        <w:fldChar w:fldCharType="end"/>
      </w: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12700</wp:posOffset>
            </wp:positionV>
            <wp:extent cx="219710" cy="21336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2" w:bottom="296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1" w:right="0" w:bottom="5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077/06/105-14932/2026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</w:rPr>
        <w:t>13.10.2026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 –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ФНКЦ РР: Свободиной С.Ю. (по дов. от 30.12.2025 №427/05-03/26-9) (до и после перерыва),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ООО УК «ЭЙКОСЪ»: Фадина А.В. (по дов. от 03.09.2026 №9) (до и после перерыва),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rStyle w:val="CharStyle7"/>
        </w:rPr>
        <w:t>рассмотрев жалобу ООО УК «ЭЙКОСЪ» (далее — Заявитель) на действия ФНКЦ РР (далее — Заказчик) при проведении электронного аукциона на право заключения государственного контракта на поставку смеси энтеральной (Лот 3) для пациентов ФНКЦ РР в 2026 году (Закупка №0373100133126000343) (далее — электронный аукцион, аукцион), в соответствии с Федеральным законом от 05.04.2013 № 44-ФЗ «О контрактной системе в сфере закупок товаров, работ, услуг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0"/>
        </w:rPr>
        <w:t>IIIIIIIIIIIIIIIIIIIIIIIIIIII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sz w:val="24"/>
          <w:szCs w:val="24"/>
        </w:rPr>
        <w:t>2026-56062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7"/>
        </w:rPr>
        <w:t xml:space="preserve">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Заказчиком по п. </w:t>
      </w:r>
      <w:r>
        <w:rPr>
          <w:rStyle w:val="CharStyle7"/>
          <w:lang w:val="en-US" w:eastAsia="en-US"/>
        </w:rPr>
        <w:t xml:space="preserve">1-2 </w:t>
      </w:r>
      <w:r>
        <w:rPr>
          <w:rStyle w:val="CharStyle7"/>
        </w:rPr>
        <w:t xml:space="preserve">«Смесь энтеральная» размещено ненадлежащее обоснование дополнительных характеристик не предусмотренных позицией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КТРУ) </w:t>
      </w:r>
      <w:r>
        <w:rPr>
          <w:rStyle w:val="CharStyle7"/>
          <w:lang w:val="en-US" w:eastAsia="en-US"/>
        </w:rPr>
        <w:t xml:space="preserve">10.86.10.191-00000001 </w:t>
      </w:r>
      <w:r>
        <w:rPr>
          <w:rStyle w:val="CharStyle7"/>
        </w:rPr>
        <w:t>«Смесь энтеральная».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 в жалобе конкретизировано, что, например, по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«Смесь энтеральная» Заказчиком не представлено обоснование использование такой характеристики как вид цельного белка в основе смеси энтеральной, а в обосновании по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«Смесь энтеральная» Заказчиком в составе обоснования использования дополнительных характеристик указано, что данная смесь должна быть предназначена для детей с трех лет, что противоречит требованию «возрастная категория: </w:t>
      </w:r>
      <w:r>
        <w:rPr>
          <w:rStyle w:val="CharStyle7"/>
          <w:lang w:val="en-US" w:eastAsia="en-US"/>
        </w:rPr>
        <w:t xml:space="preserve">≥ 3 </w:t>
      </w:r>
      <w:r>
        <w:rPr>
          <w:rStyle w:val="CharStyle7"/>
        </w:rPr>
        <w:t>год».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также указывает, что объективная потребность в установлении дополнительных характеристик в столь узких диапазонах, например, что смесь должна содержать, например, пищевые волокна </w:t>
      </w:r>
      <w:r>
        <w:rPr>
          <w:rStyle w:val="CharStyle7"/>
          <w:lang w:val="en-US" w:eastAsia="en-US"/>
        </w:rPr>
        <w:t xml:space="preserve">≥ 1.5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2 </w:t>
      </w:r>
      <w:r>
        <w:rPr>
          <w:rStyle w:val="CharStyle7"/>
        </w:rPr>
        <w:t xml:space="preserve">на </w:t>
      </w:r>
      <w:r>
        <w:rPr>
          <w:rStyle w:val="CharStyle7"/>
          <w:lang w:val="en-US" w:eastAsia="en-US"/>
        </w:rPr>
        <w:t xml:space="preserve">100 </w:t>
      </w:r>
      <w:r>
        <w:rPr>
          <w:rStyle w:val="CharStyle7"/>
        </w:rPr>
        <w:t>мл у Заказчика отсутствует.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Заявитель указывает, что в составе п. </w:t>
      </w:r>
      <w:r>
        <w:rPr>
          <w:rStyle w:val="CharStyle7"/>
          <w:lang w:val="en-US" w:eastAsia="en-US"/>
        </w:rPr>
        <w:t xml:space="preserve">2.5 </w:t>
      </w:r>
      <w:r>
        <w:rPr>
          <w:rStyle w:val="CharStyle7"/>
        </w:rPr>
        <w:t>технического задания, Заказчиком установлено, что поставка осуществляется по заявкам, в срок, указанный в заявке, при этом, указанный срок в составе извещения не уточняется, что вводит Заявителя в заблуждение.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Помимо вышеуказанного, Заявителем обозначено, что Заказчик неправомерно предъявил требования к остаточному сроку годности в составе раздела «обоснование использования дополнительных характеристик».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1" w:right="533" w:bottom="570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Вместе с тем Комиссией Управления установлено, что вышеуказанные доводы жалобы не основаны на положениях извещения и приложенных к нему документах, поскольку вопреки доводам жалобы Заказчиком по п.1 не установлена такая характеристика как вид цельного белка в основе смеси энтеральной, и не обоснованы требования по п.2 образом, указанным в жалобе, равно как не указано требование к пищевым волокнам отражённое в жалобе. Также Комиссией Управления установлено, что вопреки доводам жалобы в техническом задании не содержится п. </w:t>
      </w:r>
      <w:r>
        <w:rPr>
          <w:rStyle w:val="CharStyle7"/>
          <w:lang w:val="en-US" w:eastAsia="en-US"/>
        </w:rPr>
        <w:t xml:space="preserve">2.5 </w:t>
      </w:r>
      <w:r>
        <w:rPr>
          <w:rStyle w:val="CharStyle7"/>
        </w:rPr>
        <w:t>технического задания указанный в жалобе, равно как не содержится требование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об остаточном сроке годности в составе раздела «обоснование использования дополнительных характеристик».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данные доводы жалобы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составе жалобы Заявитель также указывает, что совокупности установленных Заказчиком требований к характеристикам необходимых к поставке товаров по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«Смесь энтеральная» соответствует товар единственного иностранного производителя, при этом Заявитель указывает, что Заказчиком были установлены избыточные, детализирующие характеристики к составу смеси.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Также Заявитель указывает, что, по мнению Заявителя, исходя из системного толкования ст. </w:t>
      </w:r>
      <w:r>
        <w:rPr>
          <w:rStyle w:val="CharStyle7"/>
          <w:lang w:val="en-US" w:eastAsia="en-US"/>
        </w:rPr>
        <w:t xml:space="preserve">14,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 xml:space="preserve">Закона о контрактной системе, 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23.12.2024 № 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 </w:t>
      </w:r>
      <w:r>
        <w:rPr>
          <w:rStyle w:val="CharStyle7"/>
        </w:rPr>
        <w:t xml:space="preserve">при наличии у Заказчика обоснованной потребности в товаре, производство которого на территории Российской Федерации отсутствует, Заказчик обязан выделять такую закупку в отдельный лот, чтобы не ограничивать отечественных производителей, способных поставить свою продукцию, однако в данной закупке, Заказчиком в один лот объединена поставка изделий как российского, так и иностранного производства, так как, например, по позиции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подходит производитель </w:t>
      </w:r>
      <w:r>
        <w:rPr>
          <w:rStyle w:val="CharStyle7"/>
          <w:lang w:val="en-US" w:eastAsia="en-US"/>
        </w:rPr>
        <w:t xml:space="preserve">Nutrien Fort </w:t>
      </w:r>
      <w:r>
        <w:rPr>
          <w:rStyle w:val="CharStyle7"/>
        </w:rPr>
        <w:t xml:space="preserve">(АО «Инфаприм», Россия), а по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«Смесь энтеральная» соответствует товар единственного иностранного производителя.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Вместе с тем поскольку нумерация товаров в описании объекта закупки извещения и в техническом задании отличалась, а идентификатор оспариваемых товаров в жалобе отсутствовал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Комиссией Управления уточнено у Заявителя, в том числе, п.4 чего именно (описания объекта закупки в извещении или в техническом задании) имеется ввиду в жалобе.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Представителем Заявителя дано пояснение о том, что имеются ввиду пункты технического задания.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855" w:right="541" w:bottom="317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</w:t>
      </w:r>
      <w:r>
        <w:rPr>
          <w:rStyle w:val="CharStyle7"/>
          <w:sz w:val="24"/>
          <w:szCs w:val="24"/>
          <w:lang w:val="en-US" w:eastAsia="en-US"/>
        </w:rPr>
        <w:t>2026-56062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40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п.1 ч.2 ст.14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855" w:right="555" w:bottom="85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П.1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2" w:val="left"/>
        </w:tabs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 xml:space="preserve"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</w:t>
      </w:r>
      <w:r>
        <w:rPr>
          <w:rStyle w:val="CharStyle7"/>
          <w:sz w:val="24"/>
          <w:szCs w:val="24"/>
          <w:lang w:val="en-US" w:eastAsia="en-US"/>
        </w:rPr>
        <w:t>2026-56062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Комиссия Управления установлено, что Заказчиком закупаются, например, товары по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«Смесь энтеральная» технического задания, позиции КТРУ </w:t>
      </w:r>
      <w:r>
        <w:rPr>
          <w:rStyle w:val="CharStyle7"/>
          <w:lang w:val="en-US" w:eastAsia="en-US"/>
        </w:rPr>
        <w:t xml:space="preserve">10.86.10.191-00000001 </w:t>
      </w:r>
      <w:r>
        <w:rPr>
          <w:rStyle w:val="CharStyle7"/>
        </w:rPr>
        <w:t>«Смесь энтеральная».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извещении о закупочной процедуре Заказчиком во всем закупаемым позициям установлено преимущество, предусмотренное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Заявителя пояснил, что по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технического задания «Смесь энтеральная» подходит единственный товар </w:t>
      </w:r>
      <w:r>
        <w:rPr>
          <w:rStyle w:val="CharStyle7"/>
          <w:lang w:val="en-US" w:eastAsia="en-US"/>
        </w:rPr>
        <w:t xml:space="preserve">«nutricia-medical», </w:t>
      </w:r>
      <w:r>
        <w:rPr>
          <w:rStyle w:val="CharStyle7"/>
        </w:rPr>
        <w:t>производства Нидерланды, Великобритания, Германия.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описанию объекта закупки по п.4 технического задания соответствуют товары различных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был объявлен перерыв в рассмотрении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После объявленного перерыва представитель Заказчика пояснил, что по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технического задания «Смесь энтеральная» соответствуют товары следующих производителей: </w:t>
      </w:r>
      <w:r>
        <w:rPr>
          <w:rStyle w:val="CharStyle7"/>
          <w:lang w:val="en-US" w:eastAsia="en-US"/>
        </w:rPr>
        <w:t xml:space="preserve">«Nutricia»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>«Fresenius Kab».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обоснование своей позиции представитель Заказчика также представил коммерческие предложения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исх.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 xml:space="preserve">27.08.2026; № 150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27.08.2026; № 60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27.08.2026.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После объявленного перерыва представитель Заявителя пояснил, что по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«Смесь энтеральная» не подходит товар производителя </w:t>
      </w:r>
      <w:r>
        <w:rPr>
          <w:rStyle w:val="CharStyle7"/>
          <w:lang w:val="en-US" w:eastAsia="en-US"/>
        </w:rPr>
        <w:t xml:space="preserve">«Fresenius Kab» </w:t>
      </w:r>
      <w:r>
        <w:rPr>
          <w:rStyle w:val="CharStyle7"/>
        </w:rPr>
        <w:t xml:space="preserve">по следующим характеристикам: «Железо в </w:t>
      </w:r>
      <w:r>
        <w:rPr>
          <w:rStyle w:val="CharStyle7"/>
          <w:lang w:val="en-US" w:eastAsia="en-US"/>
        </w:rPr>
        <w:t xml:space="preserve">100 </w:t>
      </w:r>
      <w:r>
        <w:rPr>
          <w:rStyle w:val="CharStyle7"/>
        </w:rPr>
        <w:t xml:space="preserve">мл продукта: </w:t>
      </w:r>
      <w:r>
        <w:rPr>
          <w:rStyle w:val="CharStyle7"/>
          <w:lang w:val="en-US" w:eastAsia="en-US"/>
        </w:rPr>
        <w:t xml:space="preserve">≥ 1.6 </w:t>
      </w:r>
      <w:r>
        <w:rPr>
          <w:rStyle w:val="CharStyle7"/>
        </w:rPr>
        <w:t xml:space="preserve">Грамм», «Селен в </w:t>
      </w:r>
      <w:r>
        <w:rPr>
          <w:rStyle w:val="CharStyle7"/>
          <w:lang w:val="en-US" w:eastAsia="en-US"/>
        </w:rPr>
        <w:t xml:space="preserve">100 </w:t>
      </w:r>
      <w:r>
        <w:rPr>
          <w:rStyle w:val="CharStyle7"/>
        </w:rPr>
        <w:t xml:space="preserve">мл продукта </w:t>
      </w:r>
      <w:r>
        <w:rPr>
          <w:rStyle w:val="CharStyle7"/>
          <w:lang w:val="en-US" w:eastAsia="en-US"/>
        </w:rPr>
        <w:t xml:space="preserve">≥ 9.6: </w:t>
      </w:r>
      <w:r>
        <w:rPr>
          <w:rStyle w:val="CharStyle7"/>
        </w:rPr>
        <w:t>Миллиграмм».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Также представитель Заявителя пояснил, что Заявитель приравнивает техничсекое задание к описанию объекта закупки отраженному в извещении, ввиду чего до объявленного перерыва Заявителем было ошибочно указано на оспариваемую п.4 технического задания «Смесь энтеральная», в то время как оспариваемой являлась п.4 структурированной формы извещения «Смесь энтеральная». </w:t>
      </w:r>
      <w:r>
        <w:rPr>
          <w:rStyle w:val="CharStyle7"/>
          <w:sz w:val="24"/>
          <w:szCs w:val="24"/>
          <w:lang w:val="en-US" w:eastAsia="en-US"/>
        </w:rPr>
        <w:t>2026-56062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отмечает, что Заказчиком подтверждено, что совокупности установленных требований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технического задания «Смесь энтеральная» соответствуют товары как минимум двух производителей, доказательств обратного Заявителем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Комиссия Управления отмечает, что в рассматриваемом случае извещением по всем позициям установлен национальный режим в виде преимущества в соответствии с Постановлением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что свидетельствует о применении механизма национального режима ко всему предмету закупки, а не к его части.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в положениях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отсутствуют нормы, запрещающие объединение в один лот закупаемых товаров зарубежного и российского производства, ввиду чего у Комиссии Управления отсутствуют правовые основания считать неправомерным объединение изделий российского и иностранного производства в рамках одного лота.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3. </w:t>
      </w:r>
      <w:r>
        <w:rPr>
          <w:rStyle w:val="CharStyle7"/>
        </w:rPr>
        <w:t>Также Заявителем в составе дополнительных документов были указаны новые доводы, не содержащиеся в составе жалобы и озвученные представителем Заявителя в ходе рассмотрения указанной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Вместе с тем Заявляя новые доводы в рамках возбужденного производства по иной жалобе, ранее назначенной к рассмотрению, Заявитель лишает контрольный орган в сфере закупок осуществить предусмотренные законом процессуальные действия, предусмотренные Законом о контрактной системе, а Заказчика и иных лиц, права и законные интересы которых непосредственно затрагиваются в результате рассмотрения жалобы возможности предоставить возражения.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Таким образом, рассмотрение новых доводов по существу приведет к нарушению процессуальных прав заказчика и иных лиц, права и законные интересы которых непосредственно затрагиваются в результате рассмотрения жалобы на подготовку мотивированной правовой позиции по данным доводам и нарушению принципа равноправия сторон.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Вместе с тем в ходе внеплановой проверки действий Заказчика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№145 </w:t>
      </w:r>
      <w:r>
        <w:rPr>
          <w:rStyle w:val="CharStyle7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</w:t>
      </w:r>
      <w:r>
        <w:rPr>
          <w:rStyle w:val="CharStyle7"/>
          <w:sz w:val="24"/>
          <w:szCs w:val="24"/>
          <w:lang w:val="en-US" w:eastAsia="en-US"/>
        </w:rPr>
        <w:t>2026-56062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59" w:val="left"/>
          <w:tab w:pos="10204" w:val="righ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документации о закупке (в случае если</w:t>
        <w:tab/>
        <w:t>Федеральным законом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с.33 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 в силу п.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826" w:right="540" w:bottom="30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</w:t>
      </w:r>
      <w:r>
        <w:rPr>
          <w:rStyle w:val="CharStyle7"/>
          <w:sz w:val="24"/>
          <w:szCs w:val="24"/>
          <w:lang w:val="en-US" w:eastAsia="en-US"/>
        </w:rPr>
        <w:t>2026-56062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7"/>
          <w:lang w:val="en-US" w:eastAsia="en-US"/>
        </w:rPr>
        <w:t>034-2014.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 Заказчиком, например по п.1 описания объекта закупки закупается товар «Смесь энтеральная», при этом при описании изделий Заказчиком применена позиция КТРУ </w:t>
      </w:r>
      <w:r>
        <w:rPr>
          <w:rStyle w:val="CharStyle7"/>
          <w:lang w:val="en-US" w:eastAsia="en-US"/>
        </w:rPr>
        <w:t xml:space="preserve">10.86.10.191-00000001 </w:t>
      </w:r>
      <w:r>
        <w:rPr>
          <w:rStyle w:val="CharStyle7"/>
        </w:rPr>
        <w:t>«Смесь энтеральная».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Комиссией Управления установлено, что используемая Заказчиком позиция КТРУ содержат описание, предусмотренное пп. «г» п.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 xml:space="preserve">Правил формирования КТРУ, при этом Заказчиком при описании товаров применена дополнительная информация, не предусмотренная описанием товара, указанным в позиции КТРУ и сформированным в соответствии пп. «г» п.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>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При этом Комиссия Управления отмечает, что Заказчиком в электронном документе «ТЗ (описание объекта </w:t>
      </w:r>
      <w:r>
        <w:rPr>
          <w:rStyle w:val="CharStyle7"/>
          <w:lang w:val="en-US" w:eastAsia="en-US"/>
        </w:rPr>
        <w:t xml:space="preserve">закупки).docx», </w:t>
      </w:r>
      <w:r>
        <w:rPr>
          <w:rStyle w:val="CharStyle7"/>
        </w:rPr>
        <w:t xml:space="preserve">прикрепленном в составе извещения, по всем дополнительным характеристикам, размещено следующее обоснование: </w:t>
      </w:r>
      <w:r>
        <w:rPr>
          <w:rStyle w:val="CharStyle7"/>
          <w:i/>
          <w:iCs/>
        </w:rPr>
        <w:t>«Характеристика обусловлена спецификой планируемых процедур».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При этом комиссия Управления отмечает, что размещенное Заказчиком в составе описания объекта закупки обоснование необходимости использования дополнительной информации </w:t>
      </w:r>
      <w:r>
        <w:rPr>
          <w:rStyle w:val="CharStyle7"/>
          <w:i/>
          <w:iCs/>
        </w:rPr>
        <w:t>«Характеристика обусловлена спецификой планируемых процедур»</w:t>
      </w:r>
      <w:r>
        <w:rPr>
          <w:rStyle w:val="CharStyle7"/>
        </w:rPr>
        <w:t xml:space="preserve"> не соответствует п.6 Правил использования КТРУ, так как данное обоснование не указывает на потребность Заказчика, подлежащую удовлетворению в связи с использованием конкретной дополнительной информации, в части установления определенных требований к характеристикам закупаемых изделий, в связи с чем очевидно, что обоснование использование дополнительной информации, предусмотренное п.6 Правил использования КТРУ, подразумевает необходимость размещения информации, позволяющей определить потребность заказчика в конкретной дополнительной характеристике, но не формального указания на специфику процедур.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нарушении Заказчиком ч.6 ст.23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ООО УК «ЭЙКОСЪ» на действия ФНКЦ РР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в действиях Заказчика нарушение требований ч.6 ст.23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7"/>
        </w:rPr>
        <w:t>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</w:t>
      </w: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855" w:right="536" w:bottom="182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26.pt;width:145.20000000000002pt;height:19.900000000000002pt;z-index:-125829372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3" behindDoc="0" locked="0" layoutInCell="1" allowOverlap="1">
            <wp:simplePos x="0" y="0"/>
            <wp:positionH relativeFrom="page">
              <wp:posOffset>3208020</wp:posOffset>
            </wp:positionH>
            <wp:positionV relativeFrom="paragraph">
              <wp:posOffset>400050</wp:posOffset>
            </wp:positionV>
            <wp:extent cx="359410" cy="40259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3628390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5.69999999999999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4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78.65000000000003pt;margin-top:26.pt;width:89.5pt;height:19.900000000000002pt;z-index:-125829369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3F9DE428659AE143B5F34A2CE9C4D3FF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5"/>
        </w:rPr>
        <w:t xml:space="preserve">Действителен с 15.09.2026 </w:t>
      </w:r>
      <w:r>
        <w:rPr>
          <w:rStyle w:val="CharStyle25"/>
          <w:color w:val="5F5F5F"/>
        </w:rPr>
        <w:t xml:space="preserve">по </w:t>
      </w:r>
      <w:r>
        <w:rPr>
          <w:rStyle w:val="CharStyle25"/>
        </w:rPr>
        <w:t>09.12.2027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3208020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3628390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5.69999999999999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00B7A04536BB122B8DA23C6855F6E71917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5"/>
        </w:rPr>
        <w:t xml:space="preserve">Действителен с 15.09.2026 </w:t>
      </w:r>
      <w:r>
        <w:rPr>
          <w:rStyle w:val="CharStyle25"/>
          <w:color w:val="5F5F5F"/>
        </w:rPr>
        <w:t xml:space="preserve">по </w:t>
      </w:r>
      <w:r>
        <w:rPr>
          <w:rStyle w:val="CharStyle25"/>
        </w:rPr>
        <w:t>09.12.2027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44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3208020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3671570</wp:posOffset>
                </wp:positionH>
                <wp:positionV relativeFrom="paragraph">
                  <wp:posOffset>465455</wp:posOffset>
                </wp:positionV>
                <wp:extent cx="1280160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9.10000000000002pt;margin-top:36.64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3628390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85.69999999999999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ГЕЛМУТДИНОВА АНАСТАСИЯ СЕРГЕЕВНА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723501СС21703599976371</w:t>
      </w:r>
      <w:r>
        <w:rPr>
          <w:rStyle w:val="CharStyle25"/>
          <w:lang w:val="en-US" w:eastAsia="en-US"/>
        </w:rPr>
        <w:t>4F5C652689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60" w:line="266" w:lineRule="auto"/>
        <w:ind w:right="0" w:firstLine="0"/>
        <w:jc w:val="left"/>
      </w:pPr>
      <w:r>
        <w:rPr>
          <w:rStyle w:val="CharStyle25"/>
        </w:rPr>
        <w:t xml:space="preserve">Действителен с 09.02.2026 </w:t>
      </w:r>
      <w:r>
        <w:rPr>
          <w:rStyle w:val="CharStyle25"/>
          <w:color w:val="5F5F5F"/>
        </w:rPr>
        <w:t xml:space="preserve">по </w:t>
      </w:r>
      <w:r>
        <w:rPr>
          <w:rStyle w:val="CharStyle25"/>
        </w:rPr>
        <w:t>05.05.2027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2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72" w:right="532" w:bottom="117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10377170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2026-56062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17.10000000000002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2026-56062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10377170</wp:posOffset>
              </wp:positionV>
              <wp:extent cx="72263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2026-56062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pt;margin-top:817.10000000000002pt;width:56.899999999999999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2026-56062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10377170</wp:posOffset>
              </wp:positionV>
              <wp:extent cx="722630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2026-56062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pt;margin-top:817.10000000000002pt;width:56.899999999999999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2026-56062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278130</wp:posOffset>
              </wp:positionV>
              <wp:extent cx="64135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21.900000000000002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283845</wp:posOffset>
              </wp:positionV>
              <wp:extent cx="137160" cy="730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5.85000000000002pt;margin-top:22.350000000000001pt;width:10.80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278130</wp:posOffset>
              </wp:positionV>
              <wp:extent cx="64135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pt;margin-top:21.900000000000002pt;width:5.0499999999999998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278130</wp:posOffset>
              </wp:positionV>
              <wp:extent cx="64135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pt;margin-top:21.900000000000002pt;width:5.0499999999999998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283845</wp:posOffset>
              </wp:positionV>
              <wp:extent cx="137160" cy="7302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5.85000000000002pt;margin-top:22.350000000000001pt;width:10.800000000000001pt;height:5.7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283845</wp:posOffset>
              </wp:positionV>
              <wp:extent cx="137160" cy="7302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5.85000000000002pt;margin-top:22.350000000000001pt;width:10.800000000000001pt;height:5.7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  <w:ind w:left="46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9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header" Target="header6.xml"/><Relationship Id="rId22" Type="http://schemas.openxmlformats.org/officeDocument/2006/relationships/footer" Target="footer6.xml"/><Relationship Id="rId23" Type="http://schemas.openxmlformats.org/officeDocument/2006/relationships/header" Target="header7.xml"/><Relationship Id="rId24" Type="http://schemas.openxmlformats.org/officeDocument/2006/relationships/footer" Target="footer7.xm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Relationship Id="rId27" Type="http://schemas.openxmlformats.org/officeDocument/2006/relationships/image" Target="media/image5.jpeg"/><Relationship Id="rId28" Type="http://schemas.openxmlformats.org/officeDocument/2006/relationships/image" Target="media/image5.jpeg" TargetMode="External"/><Relationship Id="rId29" Type="http://schemas.openxmlformats.org/officeDocument/2006/relationships/image" Target="media/image6.jpeg"/><Relationship Id="rId30" Type="http://schemas.openxmlformats.org/officeDocument/2006/relationships/image" Target="media/image6.jpeg" TargetMode="External"/></Relationships>
</file>