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7"/>
        <w:widowControl w:val="0"/>
        <w:keepNext w:val="0"/>
        <w:keepLines w:val="0"/>
        <w:shd w:val="clear" w:color="auto" w:fill="auto"/>
        <w:bidi w:val="0"/>
        <w:spacing w:before="244" w:after="173"/>
        <w:ind w:left="400" w:right="0" w:firstLine="0"/>
      </w:pPr>
      <w:r>
        <w:rPr>
          <w:lang w:val="ru-RU" w:eastAsia="ru-RU" w:bidi="ru-RU"/>
          <w:w w:val="100"/>
          <w:spacing w:val="0"/>
          <w:color w:val="000000"/>
          <w:position w:val="0"/>
        </w:rPr>
        <w:t>ФЕДЕРАЛЬНАЯ АНТИМОНОПОЛЬНАЯ СЛУЖБА</w:t>
      </w:r>
    </w:p>
    <w:p>
      <w:pPr>
        <w:pStyle w:val="Style7"/>
        <w:widowControl w:val="0"/>
        <w:keepNext w:val="0"/>
        <w:keepLines w:val="0"/>
        <w:shd w:val="clear" w:color="auto" w:fill="auto"/>
        <w:bidi w:val="0"/>
        <w:jc w:val="left"/>
        <w:spacing w:before="0" w:after="0" w:line="283" w:lineRule="exact"/>
        <w:ind w:left="40" w:right="4100" w:firstLine="1460"/>
      </w:pPr>
      <w:r>
        <w:rPr>
          <w:lang w:val="ru-RU" w:eastAsia="ru-RU" w:bidi="ru-RU"/>
          <w:w w:val="100"/>
          <w:spacing w:val="0"/>
          <w:color w:val="000000"/>
          <w:position w:val="0"/>
        </w:rPr>
        <w:t xml:space="preserve">УПРАВЛЕНИЕ Федеральной антимонопольной службы по Республике Крым и городу Севастополю </w:t>
      </w:r>
      <w:r>
        <w:rPr>
          <w:rStyle w:val="CharStyle9"/>
          <w:b w:val="0"/>
          <w:bCs w:val="0"/>
        </w:rPr>
        <w:t>1. Заказчик:</w:t>
      </w:r>
    </w:p>
    <w:p>
      <w:pPr>
        <w:pStyle w:val="Style3"/>
        <w:framePr w:w="3986" w:h="1909" w:wrap="around" w:vAnchor="text" w:hAnchor="margin" w:x="-52" w:y="-1"/>
        <w:widowControl w:val="0"/>
        <w:keepNext w:val="0"/>
        <w:keepLines w:val="0"/>
        <w:shd w:val="clear" w:color="auto" w:fill="auto"/>
        <w:bidi w:val="0"/>
        <w:spacing w:before="0" w:after="0"/>
        <w:ind w:left="0" w:right="10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5"/>
        <w:framePr w:w="3986" w:h="1909" w:wrap="around" w:vAnchor="text" w:hAnchor="margin" w:x="-52" w:y="-1"/>
        <w:widowControl w:val="0"/>
        <w:keepNext w:val="0"/>
        <w:keepLines w:val="0"/>
        <w:shd w:val="clear" w:color="auto" w:fill="auto"/>
        <w:bidi w:val="0"/>
        <w:jc w:val="left"/>
        <w:spacing w:before="0" w:after="0" w:line="562" w:lineRule="exact"/>
        <w:ind w:left="20" w:right="1240" w:firstLine="0"/>
      </w:pPr>
      <w:r>
        <w:rPr>
          <w:rStyle w:val="CharStyle6"/>
          <w:spacing w:val="0"/>
        </w:rPr>
        <w:t>13.11.2017 №06/12962 На № б/н от 27.10.2017</w:t>
      </w:r>
    </w:p>
    <w:p>
      <w:pPr>
        <w:pStyle w:val="Style5"/>
        <w:widowControl w:val="0"/>
        <w:keepNext w:val="0"/>
        <w:keepLines w:val="0"/>
        <w:shd w:val="clear" w:color="auto" w:fill="auto"/>
        <w:bidi w:val="0"/>
        <w:jc w:val="left"/>
        <w:spacing w:before="0" w:after="0"/>
        <w:ind w:left="980" w:right="420" w:firstLine="0"/>
      </w:pPr>
      <w:r>
        <w:rPr>
          <w:lang w:val="ru-RU" w:eastAsia="ru-RU" w:bidi="ru-RU"/>
          <w:w w:val="100"/>
          <w:spacing w:val="0"/>
          <w:color w:val="000000"/>
          <w:position w:val="0"/>
        </w:rPr>
        <w:t>Администрация Нижнегорского сельского поселения Нижнегорского района Республики Крым 297100, Республика Крым,</w:t>
      </w:r>
    </w:p>
    <w:p>
      <w:pPr>
        <w:pStyle w:val="Style5"/>
        <w:widowControl w:val="0"/>
        <w:keepNext w:val="0"/>
        <w:keepLines w:val="0"/>
        <w:shd w:val="clear" w:color="auto" w:fill="auto"/>
        <w:bidi w:val="0"/>
        <w:jc w:val="left"/>
        <w:spacing w:before="0" w:after="300"/>
        <w:ind w:left="980" w:right="800" w:firstLine="0"/>
      </w:pPr>
      <w:r>
        <w:rPr>
          <w:lang w:val="ru-RU" w:eastAsia="ru-RU" w:bidi="ru-RU"/>
          <w:w w:val="100"/>
          <w:spacing w:val="0"/>
          <w:color w:val="000000"/>
          <w:position w:val="0"/>
        </w:rPr>
        <w:t>Нижнегорский р-н, пгт. Нижнегорский, ул. Школьная, дом 8а</w:t>
      </w:r>
    </w:p>
    <w:p>
      <w:pPr>
        <w:pStyle w:val="Style5"/>
        <w:numPr>
          <w:ilvl w:val="0"/>
          <w:numId w:val="1"/>
        </w:numPr>
        <w:widowControl w:val="0"/>
        <w:keepNext w:val="0"/>
        <w:keepLines w:val="0"/>
        <w:shd w:val="clear" w:color="auto" w:fill="auto"/>
        <w:bidi w:val="0"/>
        <w:jc w:val="left"/>
        <w:spacing w:before="0" w:after="0"/>
        <w:ind w:left="5020" w:right="0" w:firstLine="0"/>
      </w:pPr>
      <w:r>
        <w:rPr>
          <w:lang w:val="ru-RU" w:eastAsia="ru-RU" w:bidi="ru-RU"/>
          <w:w w:val="100"/>
          <w:spacing w:val="0"/>
          <w:color w:val="000000"/>
          <w:position w:val="0"/>
        </w:rPr>
        <w:t xml:space="preserve"> Уполномоченный орган:</w:t>
      </w:r>
    </w:p>
    <w:p>
      <w:pPr>
        <w:pStyle w:val="Style5"/>
        <w:widowControl w:val="0"/>
        <w:keepNext w:val="0"/>
        <w:keepLines w:val="0"/>
        <w:shd w:val="clear" w:color="auto" w:fill="auto"/>
        <w:bidi w:val="0"/>
        <w:jc w:val="left"/>
        <w:spacing w:before="0" w:after="0"/>
        <w:ind w:left="5020" w:right="420" w:firstLine="0"/>
      </w:pPr>
      <w:r>
        <w:rPr>
          <w:lang w:val="ru-RU" w:eastAsia="ru-RU" w:bidi="ru-RU"/>
          <w:w w:val="100"/>
          <w:spacing w:val="0"/>
          <w:color w:val="000000"/>
          <w:position w:val="0"/>
        </w:rPr>
        <w:t>Комитет конкурентной политики Республики Крым 295022, Республика Крым,</w:t>
      </w:r>
    </w:p>
    <w:p>
      <w:pPr>
        <w:pStyle w:val="Style5"/>
        <w:widowControl w:val="0"/>
        <w:keepNext w:val="0"/>
        <w:keepLines w:val="0"/>
        <w:shd w:val="clear" w:color="auto" w:fill="auto"/>
        <w:bidi w:val="0"/>
        <w:jc w:val="left"/>
        <w:spacing w:before="0" w:after="0"/>
        <w:ind w:left="5020" w:right="0" w:firstLine="0"/>
      </w:pPr>
      <w:r>
        <w:rPr>
          <w:lang w:val="ru-RU" w:eastAsia="ru-RU" w:bidi="ru-RU"/>
          <w:w w:val="100"/>
          <w:spacing w:val="0"/>
          <w:color w:val="000000"/>
          <w:position w:val="0"/>
        </w:rPr>
        <w:t>г. Симферополь,</w:t>
      </w:r>
    </w:p>
    <w:p>
      <w:pPr>
        <w:pStyle w:val="Style5"/>
        <w:widowControl w:val="0"/>
        <w:keepNext w:val="0"/>
        <w:keepLines w:val="0"/>
        <w:shd w:val="clear" w:color="auto" w:fill="auto"/>
        <w:bidi w:val="0"/>
        <w:jc w:val="left"/>
        <w:spacing w:before="0" w:after="300"/>
        <w:ind w:left="5020" w:right="0" w:firstLine="0"/>
      </w:pPr>
      <w:r>
        <w:rPr>
          <w:lang w:val="ru-RU" w:eastAsia="ru-RU" w:bidi="ru-RU"/>
          <w:w w:val="100"/>
          <w:spacing w:val="0"/>
          <w:color w:val="000000"/>
          <w:position w:val="0"/>
        </w:rPr>
        <w:t>ул. Кечкеметская, д. 198 (1 этаж)</w:t>
      </w:r>
    </w:p>
    <w:p>
      <w:pPr>
        <w:pStyle w:val="Style5"/>
        <w:numPr>
          <w:ilvl w:val="0"/>
          <w:numId w:val="1"/>
        </w:numPr>
        <w:widowControl w:val="0"/>
        <w:keepNext w:val="0"/>
        <w:keepLines w:val="0"/>
        <w:shd w:val="clear" w:color="auto" w:fill="auto"/>
        <w:bidi w:val="0"/>
        <w:jc w:val="left"/>
        <w:spacing w:before="0" w:after="0"/>
        <w:ind w:left="5020" w:right="0" w:firstLine="0"/>
      </w:pPr>
      <w:r>
        <w:rPr>
          <w:lang w:val="ru-RU" w:eastAsia="ru-RU" w:bidi="ru-RU"/>
          <w:w w:val="100"/>
          <w:spacing w:val="0"/>
          <w:color w:val="000000"/>
          <w:position w:val="0"/>
        </w:rPr>
        <w:t xml:space="preserve"> Заявитель:</w:t>
      </w:r>
    </w:p>
    <w:p>
      <w:pPr>
        <w:pStyle w:val="Style5"/>
        <w:widowControl w:val="0"/>
        <w:keepNext w:val="0"/>
        <w:keepLines w:val="0"/>
        <w:shd w:val="clear" w:color="auto" w:fill="auto"/>
        <w:bidi w:val="0"/>
        <w:jc w:val="left"/>
        <w:spacing w:before="0" w:after="0"/>
        <w:ind w:left="5020" w:right="0" w:firstLine="0"/>
      </w:pPr>
      <w:r>
        <w:rPr>
          <w:lang w:val="ru-RU" w:eastAsia="ru-RU" w:bidi="ru-RU"/>
          <w:w w:val="100"/>
          <w:spacing w:val="0"/>
          <w:color w:val="000000"/>
          <w:position w:val="0"/>
        </w:rPr>
        <w:t>ООО «ОВК ЮГ»</w:t>
      </w:r>
    </w:p>
    <w:p>
      <w:pPr>
        <w:pStyle w:val="Style5"/>
        <w:widowControl w:val="0"/>
        <w:keepNext w:val="0"/>
        <w:keepLines w:val="0"/>
        <w:shd w:val="clear" w:color="auto" w:fill="auto"/>
        <w:bidi w:val="0"/>
        <w:jc w:val="left"/>
        <w:spacing w:before="0" w:after="304"/>
        <w:ind w:left="5020" w:right="420" w:firstLine="0"/>
      </w:pPr>
      <w:r>
        <w:rPr>
          <w:lang w:val="ru-RU" w:eastAsia="ru-RU" w:bidi="ru-RU"/>
          <w:w w:val="100"/>
          <w:spacing w:val="0"/>
          <w:color w:val="000000"/>
          <w:position w:val="0"/>
        </w:rPr>
        <w:t>350049, г. Краснодар, проезд Брюсова, д. 22/3</w:t>
      </w:r>
    </w:p>
    <w:p>
      <w:pPr>
        <w:pStyle w:val="Style5"/>
        <w:numPr>
          <w:ilvl w:val="0"/>
          <w:numId w:val="1"/>
        </w:numPr>
        <w:widowControl w:val="0"/>
        <w:keepNext w:val="0"/>
        <w:keepLines w:val="0"/>
        <w:shd w:val="clear" w:color="auto" w:fill="auto"/>
        <w:bidi w:val="0"/>
        <w:jc w:val="left"/>
        <w:spacing w:before="0" w:after="0" w:line="317" w:lineRule="exact"/>
        <w:ind w:left="5020" w:right="0" w:firstLine="0"/>
      </w:pPr>
      <w:r>
        <w:rPr>
          <w:lang w:val="ru-RU" w:eastAsia="ru-RU" w:bidi="ru-RU"/>
          <w:w w:val="100"/>
          <w:spacing w:val="0"/>
          <w:color w:val="000000"/>
          <w:position w:val="0"/>
        </w:rPr>
        <w:t xml:space="preserve"> Оператор электронной площадки:</w:t>
      </w:r>
    </w:p>
    <w:p>
      <w:pPr>
        <w:pStyle w:val="Style5"/>
        <w:widowControl w:val="0"/>
        <w:keepNext w:val="0"/>
        <w:keepLines w:val="0"/>
        <w:shd w:val="clear" w:color="auto" w:fill="auto"/>
        <w:bidi w:val="0"/>
        <w:jc w:val="left"/>
        <w:spacing w:before="0" w:after="0" w:line="317" w:lineRule="exact"/>
        <w:ind w:left="5020" w:right="0" w:firstLine="0"/>
      </w:pPr>
      <w:r>
        <w:rPr>
          <w:lang w:val="ru-RU" w:eastAsia="ru-RU" w:bidi="ru-RU"/>
          <w:w w:val="100"/>
          <w:spacing w:val="0"/>
          <w:color w:val="000000"/>
          <w:position w:val="0"/>
        </w:rPr>
        <w:t>ООО «РТС-тендер»</w:t>
      </w:r>
    </w:p>
    <w:p>
      <w:pPr>
        <w:pStyle w:val="Style5"/>
        <w:widowControl w:val="0"/>
        <w:keepNext w:val="0"/>
        <w:keepLines w:val="0"/>
        <w:shd w:val="clear" w:color="auto" w:fill="auto"/>
        <w:bidi w:val="0"/>
        <w:jc w:val="left"/>
        <w:spacing w:before="0" w:after="0" w:line="317" w:lineRule="exact"/>
        <w:ind w:left="5020" w:right="0" w:firstLine="0"/>
      </w:pPr>
      <w:r>
        <w:rPr>
          <w:lang w:val="ru-RU" w:eastAsia="ru-RU" w:bidi="ru-RU"/>
          <w:w w:val="100"/>
          <w:spacing w:val="0"/>
          <w:color w:val="000000"/>
          <w:position w:val="0"/>
        </w:rPr>
        <w:t>121151, г. Москва, наб. Тараса Шевченко,</w:t>
      </w:r>
    </w:p>
    <w:p>
      <w:pPr>
        <w:pStyle w:val="Style5"/>
        <w:widowControl w:val="0"/>
        <w:keepNext w:val="0"/>
        <w:keepLines w:val="0"/>
        <w:shd w:val="clear" w:color="auto" w:fill="auto"/>
        <w:bidi w:val="0"/>
        <w:jc w:val="left"/>
        <w:spacing w:before="0" w:after="281" w:line="317" w:lineRule="exact"/>
        <w:ind w:left="5020" w:right="0" w:firstLine="0"/>
      </w:pPr>
      <w:r>
        <w:rPr>
          <w:lang w:val="ru-RU" w:eastAsia="ru-RU" w:bidi="ru-RU"/>
          <w:w w:val="100"/>
          <w:spacing w:val="0"/>
          <w:color w:val="000000"/>
          <w:position w:val="0"/>
        </w:rPr>
        <w:t>д. 23А, сектор В, 25 этаж</w:t>
      </w:r>
    </w:p>
    <w:p>
      <w:pPr>
        <w:pStyle w:val="Style11"/>
        <w:widowControl w:val="0"/>
        <w:keepNext w:val="0"/>
        <w:keepLines w:val="0"/>
        <w:shd w:val="clear" w:color="auto" w:fill="auto"/>
        <w:bidi w:val="0"/>
        <w:spacing w:before="0" w:after="245"/>
        <w:ind w:left="220" w:right="0" w:firstLine="0"/>
      </w:pPr>
      <w:r>
        <w:rPr>
          <w:lang w:val="ru-RU" w:eastAsia="ru-RU" w:bidi="ru-RU"/>
          <w:w w:val="100"/>
          <w:spacing w:val="0"/>
          <w:color w:val="000000"/>
          <w:position w:val="0"/>
        </w:rPr>
        <w:t>Решение по делу №06/4191-17 о нарушении законодательства Российской Федерации о контрактной системе в сфере закупок</w:t>
      </w:r>
    </w:p>
    <w:p>
      <w:pPr>
        <w:pStyle w:val="Style5"/>
        <w:tabs>
          <w:tab w:leader="none" w:pos="10038" w:val="right"/>
        </w:tabs>
        <w:widowControl w:val="0"/>
        <w:keepNext w:val="0"/>
        <w:keepLines w:val="0"/>
        <w:shd w:val="clear" w:color="auto" w:fill="auto"/>
        <w:bidi w:val="0"/>
        <w:jc w:val="both"/>
        <w:spacing w:before="0" w:after="73" w:line="260" w:lineRule="exact"/>
        <w:ind w:left="400" w:right="0" w:firstLine="0"/>
      </w:pPr>
      <w:r>
        <w:rPr>
          <w:lang w:val="ru-RU" w:eastAsia="ru-RU" w:bidi="ru-RU"/>
          <w:w w:val="100"/>
          <w:spacing w:val="0"/>
          <w:color w:val="000000"/>
          <w:position w:val="0"/>
        </w:rPr>
        <w:t>10.11.2017</w:t>
        <w:tab/>
        <w:t>г. Симферополь</w:t>
      </w:r>
    </w:p>
    <w:p>
      <w:pPr>
        <w:pStyle w:val="Style5"/>
        <w:widowControl w:val="0"/>
        <w:keepNext w:val="0"/>
        <w:keepLines w:val="0"/>
        <w:shd w:val="clear" w:color="auto" w:fill="auto"/>
        <w:bidi w:val="0"/>
        <w:jc w:val="both"/>
        <w:spacing w:before="0" w:after="0"/>
        <w:ind w:left="40" w:right="260" w:firstLine="94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5"/>
        <w:widowControl w:val="0"/>
        <w:keepNext w:val="0"/>
        <w:keepLines w:val="0"/>
        <w:shd w:val="clear" w:color="auto" w:fill="auto"/>
        <w:bidi w:val="0"/>
        <w:jc w:val="both"/>
        <w:spacing w:before="0" w:after="0"/>
        <w:ind w:left="40" w:right="260" w:firstLine="94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r>
        <w:br w:type="page"/>
      </w:r>
    </w:p>
    <w:p>
      <w:pPr>
        <w:pStyle w:val="Style5"/>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5"/>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главного специалиста - эксперта отдела контроля в сфере естественных монополий и на товарных рынках Крымского УФАС России О. А. Шалимовой, — при участии представителей интересов:</w:t>
      </w:r>
    </w:p>
    <w:p>
      <w:pPr>
        <w:pStyle w:val="Style5"/>
        <w:widowControl w:val="0"/>
        <w:keepNext w:val="0"/>
        <w:keepLines w:val="0"/>
        <w:shd w:val="clear" w:color="auto" w:fill="auto"/>
        <w:bidi w:val="0"/>
        <w:jc w:val="left"/>
        <w:spacing w:before="0" w:after="0"/>
        <w:ind w:left="20" w:right="0" w:firstLine="860"/>
      </w:pPr>
      <w:r>
        <w:rPr>
          <w:lang w:val="ru-RU" w:eastAsia="ru-RU" w:bidi="ru-RU"/>
          <w:w w:val="100"/>
          <w:spacing w:val="0"/>
          <w:color w:val="000000"/>
          <w:position w:val="0"/>
        </w:rPr>
        <w:t>Уполномоченного органа И. В. Хованского (по доверенности),</w:t>
      </w:r>
    </w:p>
    <w:p>
      <w:pPr>
        <w:pStyle w:val="Style5"/>
        <w:widowControl w:val="0"/>
        <w:keepNext w:val="0"/>
        <w:keepLines w:val="0"/>
        <w:shd w:val="clear" w:color="auto" w:fill="auto"/>
        <w:bidi w:val="0"/>
        <w:jc w:val="both"/>
        <w:spacing w:before="0" w:after="109"/>
        <w:ind w:left="20" w:right="20" w:firstLine="860"/>
      </w:pPr>
      <w:r>
        <w:rPr>
          <w:lang w:val="ru-RU" w:eastAsia="ru-RU" w:bidi="ru-RU"/>
          <w:w w:val="100"/>
          <w:spacing w:val="0"/>
          <w:color w:val="000000"/>
          <w:position w:val="0"/>
        </w:rPr>
        <w:t>Заявителя К. И. Ольховикова (по доверенности), представители Заказчика на заседание Комиссии не явились - рассмотрев жалобу Заявителя от 27.10.2017 (вх. №4775/09 от 02.11.2017) на действия Единой комиссии Уполномоченного органа при проведении аукциона в электронной форме «Реконструкция канализационных очистных сооружений в пгт. Нижнегорский Республики Крым» (извещение №0175200000417000240)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w:t>
      </w:r>
      <w:r>
        <w:rPr>
          <w:rStyle w:val="CharStyle13"/>
        </w:rPr>
        <w:t>ици</w:t>
      </w:r>
      <w:r>
        <w:rPr>
          <w:lang w:val="ru-RU" w:eastAsia="ru-RU" w:bidi="ru-RU"/>
          <w:w w:val="100"/>
          <w:spacing w:val="0"/>
          <w:color w:val="000000"/>
          <w:position w:val="0"/>
        </w:rPr>
        <w:t>и Российской Федерации 27.02.2015 за №36262 (далее - Административный регламент от 19.11.2014 №727/14),</w:t>
      </w:r>
    </w:p>
    <w:p>
      <w:pPr>
        <w:pStyle w:val="Style5"/>
        <w:widowControl w:val="0"/>
        <w:keepNext w:val="0"/>
        <w:keepLines w:val="0"/>
        <w:shd w:val="clear" w:color="auto" w:fill="auto"/>
        <w:bidi w:val="0"/>
        <w:jc w:val="left"/>
        <w:spacing w:before="0" w:after="188" w:line="260" w:lineRule="exact"/>
        <w:ind w:left="4540" w:right="0" w:firstLine="0"/>
      </w:pPr>
      <w:r>
        <w:rPr>
          <w:lang w:val="ru-RU" w:eastAsia="ru-RU" w:bidi="ru-RU"/>
          <w:w w:val="100"/>
          <w:spacing w:val="0"/>
          <w:color w:val="000000"/>
          <w:position w:val="0"/>
        </w:rPr>
        <w:t>УСТАНОВИЛА:</w:t>
      </w:r>
    </w:p>
    <w:p>
      <w:pPr>
        <w:pStyle w:val="Style5"/>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В Крымское УФАС России поступила жалоба Заявителя на действия Единой комиссии Уполномоченного органа при проведении Аукциона.</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Единой комиссии Уполномоченного органа по необоснованному отклонению заявки Заявителя (порядковый номер «9») и не допуску Заявителя к дальнейшему участию в Аукционе.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02.11.2017 №06/12554, направленное Заявителю, Заказчику, Уполномоченному органу, Оператору электронной площадки и размещенное на официальном сайте Единой информационной системы в сфере закупок (далее - официальный сайт, единая информационная система, ЕИС).</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Заседание Комиссии по рассмотрению жалобы назначено на 14:50 08.11.2017. На основании пункта 3.32 Административного регламента от 19.11.2014 №727/14 по собственной инициативе Комиссии для выяснения обстоятельств, имеющих значение для принятия решения, в заседании Комиссии объявлен перерыв до 17:30</w:t>
      </w:r>
    </w:p>
    <w:p>
      <w:pPr>
        <w:pStyle w:val="Style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10.11.2017.</w:t>
      </w:r>
    </w:p>
    <w:p>
      <w:pPr>
        <w:pStyle w:val="Style5"/>
        <w:widowControl w:val="0"/>
        <w:keepNext w:val="0"/>
        <w:keepLines w:val="0"/>
        <w:shd w:val="clear" w:color="auto" w:fill="auto"/>
        <w:bidi w:val="0"/>
        <w:jc w:val="left"/>
        <w:spacing w:before="0" w:after="0"/>
        <w:ind w:left="20" w:right="0" w:firstLine="860"/>
      </w:pPr>
      <w:r>
        <w:rPr>
          <w:lang w:val="ru-RU" w:eastAsia="ru-RU" w:bidi="ru-RU"/>
          <w:w w:val="100"/>
          <w:spacing w:val="0"/>
          <w:color w:val="000000"/>
          <w:position w:val="0"/>
        </w:rPr>
        <w:t>В ходе заседания Комиссии представитель Заявителя поддержал доводы</w:t>
      </w:r>
    </w:p>
    <w:p>
      <w:pPr>
        <w:pStyle w:val="Style5"/>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жалобы в полном объеме.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Представитель Уполномоченного органа не согласился с доводами Заявителя и сообщил, что при проведении Аукциона Заказчик, Единая комиссия Уполномоченного органа действовали в соответствии с положениями Закона о контрактной системе.</w:t>
      </w:r>
    </w:p>
    <w:p>
      <w:pPr>
        <w:pStyle w:val="Style5"/>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5"/>
        <w:numPr>
          <w:ilvl w:val="0"/>
          <w:numId w:val="3"/>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извещение о проведении закупки размещено на официальном сайте —</w:t>
      </w:r>
    </w:p>
    <w:p>
      <w:pPr>
        <w:pStyle w:val="Style5"/>
        <w:numPr>
          <w:ilvl w:val="0"/>
          <w:numId w:val="5"/>
        </w:numPr>
        <w:tabs>
          <w:tab w:leader="none" w:pos="1446"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изменения - 27.09.2017;</w:t>
      </w:r>
    </w:p>
    <w:p>
      <w:pPr>
        <w:pStyle w:val="Style5"/>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5"/>
        <w:numPr>
          <w:ilvl w:val="0"/>
          <w:numId w:val="3"/>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начальная (максимальная) цена контракта - 71 088 630,00 рублей;</w:t>
      </w:r>
    </w:p>
    <w:p>
      <w:pPr>
        <w:pStyle w:val="Style5"/>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дата и время окончания подачи заявок: 19.10.2017 08:00, дата окончания срока рассмотрения первых частей заявок участников: 26.10.2017, дата проведения Аукциона: 30.10.2017;</w:t>
      </w:r>
    </w:p>
    <w:p>
      <w:pPr>
        <w:pStyle w:val="Style5"/>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на участие в Аукционе подано 4 заявки, из них по результатам рассмотрения первых частей заявок участников 3 заявки признаны несоответствующими требованиям документации об Аукционе, в том числе заявка под порядковым номером «9» - Заявитель;</w:t>
      </w:r>
    </w:p>
    <w:p>
      <w:pPr>
        <w:pStyle w:val="Style5"/>
        <w:numPr>
          <w:ilvl w:val="0"/>
          <w:numId w:val="3"/>
        </w:numPr>
        <w:widowControl w:val="0"/>
        <w:keepNext w:val="0"/>
        <w:keepLines w:val="0"/>
        <w:shd w:val="clear" w:color="auto" w:fill="auto"/>
        <w:bidi w:val="0"/>
        <w:jc w:val="both"/>
        <w:spacing w:before="0" w:after="180"/>
        <w:ind w:left="20" w:right="0" w:firstLine="860"/>
      </w:pPr>
      <w:r>
        <w:rPr>
          <w:lang w:val="ru-RU" w:eastAsia="ru-RU" w:bidi="ru-RU"/>
          <w:w w:val="100"/>
          <w:spacing w:val="0"/>
          <w:color w:val="000000"/>
          <w:position w:val="0"/>
        </w:rPr>
        <w:t xml:space="preserve"> Аукцион признан несостоявшимся.</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 мнению Заявителя, Единая комиссия Уполномоченного органа необоснованно отклонила первую часть его заявки (под порядковым номером «9») и не допустила Заявителя к дальнейшему участию в Аукционе.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Порядок рассмотрения первых частей заявок на участие в электронном аукционе определен статьей 67 Закона о контрактной системе. В соответствии с требованиями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 и по результатам рассмотрения первых частей заявок на участие в электронном аукционе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настоящей статьи (часть 3 статьи 67 Закона о контрактной системе).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пунктом 3 части 3 статьи 66 Закона о контрактной системе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указанную в одном из следующих подпунктов информацию:</w:t>
      </w:r>
    </w:p>
    <w:p>
      <w:pPr>
        <w:pStyle w:val="Style5"/>
        <w:tabs>
          <w:tab w:leader="none" w:pos="1345" w:val="left"/>
        </w:tabs>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а)</w:t>
        <w:tab/>
        <w:t>согласие, предусмотренное пунктом 2 части 3 статьи 66 Закона о</w:t>
      </w:r>
    </w:p>
    <w:p>
      <w:pPr>
        <w:pStyle w:val="Style5"/>
        <w:widowControl w:val="0"/>
        <w:keepNext w:val="0"/>
        <w:keepLines w:val="0"/>
        <w:shd w:val="clear" w:color="auto" w:fill="auto"/>
        <w:bidi w:val="0"/>
        <w:jc w:val="both"/>
        <w:spacing w:before="0" w:after="0"/>
        <w:ind w:left="20" w:right="180" w:firstLine="0"/>
      </w:pPr>
      <w:r>
        <w:rPr>
          <w:lang w:val="ru-RU" w:eastAsia="ru-RU" w:bidi="ru-RU"/>
          <w:w w:val="100"/>
          <w:spacing w:val="0"/>
          <w:color w:val="000000"/>
          <w:position w:val="0"/>
        </w:rPr>
        <w:t>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5"/>
        <w:tabs>
          <w:tab w:leader="none" w:pos="1321" w:val="left"/>
        </w:tabs>
        <w:widowControl w:val="0"/>
        <w:keepNext w:val="0"/>
        <w:keepLines w:val="0"/>
        <w:shd w:val="clear" w:color="auto" w:fill="auto"/>
        <w:bidi w:val="0"/>
        <w:jc w:val="both"/>
        <w:spacing w:before="0" w:after="0"/>
        <w:ind w:left="20" w:right="180" w:firstLine="860"/>
      </w:pPr>
      <w:r>
        <w:rPr>
          <w:lang w:val="ru-RU" w:eastAsia="ru-RU" w:bidi="ru-RU"/>
          <w:w w:val="100"/>
          <w:spacing w:val="0"/>
          <w:color w:val="000000"/>
          <w:position w:val="0"/>
        </w:rPr>
        <w:t>б)</w:t>
        <w:tab/>
        <w:t>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5"/>
        <w:widowControl w:val="0"/>
        <w:keepNext w:val="0"/>
        <w:keepLines w:val="0"/>
        <w:shd w:val="clear" w:color="auto" w:fill="auto"/>
        <w:bidi w:val="0"/>
        <w:jc w:val="both"/>
        <w:spacing w:before="0" w:after="0"/>
        <w:ind w:left="20" w:right="180" w:firstLine="860"/>
      </w:pPr>
      <w:r>
        <w:rPr>
          <w:lang w:val="ru-RU" w:eastAsia="ru-RU" w:bidi="ru-RU"/>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5"/>
        <w:numPr>
          <w:ilvl w:val="0"/>
          <w:numId w:val="7"/>
        </w:numPr>
        <w:widowControl w:val="0"/>
        <w:keepNext w:val="0"/>
        <w:keepLines w:val="0"/>
        <w:shd w:val="clear" w:color="auto" w:fill="auto"/>
        <w:bidi w:val="0"/>
        <w:jc w:val="both"/>
        <w:spacing w:before="0" w:after="0"/>
        <w:ind w:left="20" w:right="180" w:firstLine="860"/>
      </w:pPr>
      <w:r>
        <w:rPr>
          <w:lang w:val="ru-RU" w:eastAsia="ru-RU" w:bidi="ru-RU"/>
          <w:w w:val="100"/>
          <w:spacing w:val="0"/>
          <w:color w:val="000000"/>
          <w:position w:val="0"/>
        </w:rPr>
        <w:t xml:space="preserve"> непредоставления информации, предусмотренной частью 3 статьи 66 Закона о контрактной системе, или предоставления недостоверной информации;</w:t>
      </w:r>
    </w:p>
    <w:p>
      <w:pPr>
        <w:pStyle w:val="Style5"/>
        <w:numPr>
          <w:ilvl w:val="0"/>
          <w:numId w:val="7"/>
        </w:numPr>
        <w:widowControl w:val="0"/>
        <w:keepNext w:val="0"/>
        <w:keepLines w:val="0"/>
        <w:shd w:val="clear" w:color="auto" w:fill="auto"/>
        <w:bidi w:val="0"/>
        <w:jc w:val="both"/>
        <w:spacing w:before="0" w:after="0"/>
        <w:ind w:left="20" w:right="180" w:firstLine="860"/>
      </w:pPr>
      <w:r>
        <w:rPr>
          <w:lang w:val="ru-RU" w:eastAsia="ru-RU" w:bidi="ru-RU"/>
          <w:w w:val="100"/>
          <w:spacing w:val="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5"/>
        <w:widowControl w:val="0"/>
        <w:keepNext w:val="0"/>
        <w:keepLines w:val="0"/>
        <w:shd w:val="clear" w:color="auto" w:fill="auto"/>
        <w:bidi w:val="0"/>
        <w:jc w:val="both"/>
        <w:spacing w:before="0" w:after="0"/>
        <w:ind w:left="20" w:right="180" w:firstLine="860"/>
      </w:pPr>
      <w:r>
        <w:rPr>
          <w:lang w:val="ru-RU" w:eastAsia="ru-RU" w:bidi="ru-RU"/>
          <w:w w:val="100"/>
          <w:spacing w:val="0"/>
          <w:color w:val="000000"/>
          <w:position w:val="0"/>
        </w:rPr>
        <w:t>Частью 5 статьи 67 Закона о контрактной системе установлено, что аукционная комиссия не имеет права отказать участнику в допуске к участию в электронном аукционе по основаниям, не предусмотренным частью 4 статьи 67 Закона о контрактной системе.</w:t>
      </w:r>
    </w:p>
    <w:p>
      <w:pPr>
        <w:pStyle w:val="Style14"/>
        <w:framePr w:w="10334" w:wrap="notBeside" w:vAnchor="text" w:hAnchor="text" w:xAlign="center" w:y="1"/>
        <w:tabs>
          <w:tab w:leader="underscore" w:pos="10229" w:val="left"/>
        </w:tabs>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Согласно Протоколу рассмотрения первых частей заявок на участие в электронном аукционе от 26.10.2017 № 0175200000417000240-1-1 (далее - Протокол </w:t>
      </w:r>
      <w:r>
        <w:rPr>
          <w:rStyle w:val="CharStyle16"/>
        </w:rPr>
        <w:t xml:space="preserve">рассмотрения) заявка под порядковым номером «9» отклонена по причине: </w:t>
      </w:r>
      <w:r>
        <w:rPr>
          <w:rStyle w:val="CharStyle17"/>
        </w:rPr>
        <w:t>«...</w:t>
      </w:r>
      <w:r>
        <w:rPr>
          <w:rStyle w:val="CharStyle18"/>
          <w:lang w:val="ru-RU" w:eastAsia="ru-RU" w:bidi="ru-RU"/>
        </w:rPr>
        <w:tab/>
      </w:r>
    </w:p>
    <w:tbl>
      <w:tblPr>
        <w:tblOverlap w:val="never"/>
        <w:tblLayout w:type="fixed"/>
        <w:jc w:val="center"/>
      </w:tblPr>
      <w:tblGrid>
        <w:gridCol w:w="5222"/>
        <w:gridCol w:w="5112"/>
      </w:tblGrid>
      <w:tr>
        <w:trPr>
          <w:trHeight w:val="298" w:hRule="exact"/>
        </w:trPr>
        <w:tc>
          <w:tcPr>
            <w:shd w:val="clear" w:color="auto" w:fill="FFFFFF"/>
            <w:tcBorders>
              <w:left w:val="single" w:sz="4"/>
              <w:top w:val="single" w:sz="4"/>
            </w:tcBorders>
            <w:vAlign w:val="bottom"/>
          </w:tcPr>
          <w:p>
            <w:pPr>
              <w:pStyle w:val="Style5"/>
              <w:framePr w:w="10334" w:wrap="notBeside" w:vAnchor="text" w:hAnchor="text" w:xAlign="center" w:y="1"/>
              <w:widowControl w:val="0"/>
              <w:keepNext w:val="0"/>
              <w:keepLines w:val="0"/>
              <w:shd w:val="clear" w:color="auto" w:fill="auto"/>
              <w:bidi w:val="0"/>
              <w:jc w:val="left"/>
              <w:spacing w:before="0" w:after="0" w:line="220" w:lineRule="exact"/>
              <w:ind w:left="20" w:right="0" w:firstLine="0"/>
            </w:pPr>
            <w:r>
              <w:rPr>
                <w:rStyle w:val="CharStyle19"/>
              </w:rPr>
              <w:t>Порядковый номер заявки</w:t>
            </w:r>
          </w:p>
        </w:tc>
        <w:tc>
          <w:tcPr>
            <w:shd w:val="clear" w:color="auto" w:fill="FFFFFF"/>
            <w:tcBorders>
              <w:left w:val="single" w:sz="4"/>
              <w:right w:val="single" w:sz="4"/>
              <w:top w:val="single" w:sz="4"/>
            </w:tcBorders>
            <w:vAlign w:val="bottom"/>
          </w:tcPr>
          <w:p>
            <w:pPr>
              <w:pStyle w:val="Style5"/>
              <w:framePr w:w="1033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19"/>
              </w:rPr>
              <w:t>Заявка № 9</w:t>
            </w:r>
          </w:p>
        </w:tc>
      </w:tr>
      <w:tr>
        <w:trPr>
          <w:trHeight w:val="298" w:hRule="exact"/>
        </w:trPr>
        <w:tc>
          <w:tcPr>
            <w:shd w:val="clear" w:color="auto" w:fill="FFFFFF"/>
            <w:tcBorders>
              <w:left w:val="single" w:sz="4"/>
              <w:top w:val="single" w:sz="4"/>
              <w:bottom w:val="single" w:sz="4"/>
            </w:tcBorders>
            <w:vAlign w:val="bottom"/>
          </w:tcPr>
          <w:p>
            <w:pPr>
              <w:pStyle w:val="Style5"/>
              <w:framePr w:w="10334" w:wrap="notBeside" w:vAnchor="text" w:hAnchor="text" w:xAlign="center" w:y="1"/>
              <w:widowControl w:val="0"/>
              <w:keepNext w:val="0"/>
              <w:keepLines w:val="0"/>
              <w:shd w:val="clear" w:color="auto" w:fill="auto"/>
              <w:bidi w:val="0"/>
              <w:jc w:val="left"/>
              <w:spacing w:before="0" w:after="0" w:line="220" w:lineRule="exact"/>
              <w:ind w:left="20" w:right="0" w:firstLine="0"/>
            </w:pPr>
            <w:r>
              <w:rPr>
                <w:rStyle w:val="CharStyle19"/>
              </w:rPr>
              <w:t>Статус допуска участника</w:t>
            </w:r>
          </w:p>
        </w:tc>
        <w:tc>
          <w:tcPr>
            <w:shd w:val="clear" w:color="auto" w:fill="FFFFFF"/>
            <w:tcBorders>
              <w:left w:val="single" w:sz="4"/>
              <w:right w:val="single" w:sz="4"/>
              <w:top w:val="single" w:sz="4"/>
              <w:bottom w:val="single" w:sz="4"/>
            </w:tcBorders>
            <w:vAlign w:val="bottom"/>
          </w:tcPr>
          <w:p>
            <w:pPr>
              <w:pStyle w:val="Style5"/>
              <w:framePr w:w="1033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Отказ в допуске</w:t>
            </w:r>
          </w:p>
        </w:tc>
      </w:tr>
    </w:tbl>
    <w:p>
      <w:pPr>
        <w:widowControl w:val="0"/>
        <w:rPr>
          <w:sz w:val="2"/>
          <w:szCs w:val="2"/>
        </w:rPr>
      </w:pPr>
    </w:p>
    <w:p>
      <w:pPr>
        <w:pStyle w:val="Style7"/>
        <w:tabs>
          <w:tab w:leader="underscore" w:pos="10322" w:val="left"/>
        </w:tabs>
        <w:widowControl w:val="0"/>
        <w:keepNext w:val="0"/>
        <w:keepLines w:val="0"/>
        <w:shd w:val="clear" w:color="auto" w:fill="auto"/>
        <w:bidi w:val="0"/>
        <w:jc w:val="both"/>
        <w:spacing w:before="0" w:after="0"/>
        <w:ind w:left="60" w:right="0" w:firstLine="0"/>
      </w:pPr>
      <w:r>
        <w:rPr>
          <w:rStyle w:val="CharStyle21"/>
          <w:b/>
          <w:bCs/>
        </w:rPr>
        <w:t>Обоснование принятого решения</w:t>
      </w:r>
      <w:r>
        <w:rPr>
          <w:lang w:val="ru-RU" w:eastAsia="ru-RU" w:bidi="ru-RU"/>
          <w:w w:val="100"/>
          <w:spacing w:val="0"/>
          <w:color w:val="000000"/>
          <w:position w:val="0"/>
        </w:rPr>
        <w:tab/>
      </w:r>
    </w:p>
    <w:p>
      <w:pPr>
        <w:pStyle w:val="Style22"/>
        <w:widowControl w:val="0"/>
        <w:keepNext w:val="0"/>
        <w:keepLines w:val="0"/>
        <w:shd w:val="clear" w:color="auto" w:fill="auto"/>
        <w:bidi w:val="0"/>
        <w:spacing w:before="0" w:after="0"/>
        <w:ind w:left="60" w:right="20" w:firstLine="520"/>
      </w:pPr>
      <w:r>
        <w:rPr>
          <w:lang w:val="ru-RU" w:eastAsia="ru-RU" w:bidi="ru-RU"/>
          <w:w w:val="100"/>
          <w:spacing w:val="0"/>
          <w:color w:val="000000"/>
          <w:position w:val="0"/>
        </w:rPr>
        <w:t>В соответствии с п.2 ч.4 ст.67 Закона 44-ФЗ, а именно: несоответствие в первой части заявки участника информации, предусмотренной п.п. б) п.3 ч.3 ст.66 Закона №44-ФЗ, ч.1 раздела ТТ.</w:t>
      </w:r>
      <w:r>
        <w:rPr>
          <w:rStyle w:val="CharStyle24"/>
        </w:rPr>
        <w:t>ТТТ</w:t>
      </w:r>
      <w:r>
        <w:rPr>
          <w:lang w:val="ru-RU" w:eastAsia="ru-RU" w:bidi="ru-RU"/>
          <w:w w:val="100"/>
          <w:spacing w:val="0"/>
          <w:color w:val="000000"/>
          <w:position w:val="0"/>
        </w:rPr>
        <w:t>. документации об электронном аукционе, а именно:</w:t>
      </w:r>
    </w:p>
    <w:p>
      <w:pPr>
        <w:pStyle w:val="Style22"/>
        <w:widowControl w:val="0"/>
        <w:keepNext w:val="0"/>
        <w:keepLines w:val="0"/>
        <w:shd w:val="clear" w:color="auto" w:fill="auto"/>
        <w:bidi w:val="0"/>
        <w:spacing w:before="0" w:after="0"/>
        <w:ind w:left="60" w:right="20" w:firstLine="520"/>
      </w:pPr>
      <w:r>
        <w:rPr>
          <w:lang w:val="ru-RU" w:eastAsia="ru-RU" w:bidi="ru-RU"/>
          <w:w w:val="100"/>
          <w:spacing w:val="0"/>
          <w:color w:val="000000"/>
          <w:position w:val="0"/>
        </w:rPr>
        <w:t>Согласно приложению №2 к разделу IV документации об аукционе в электронной форме по номенклатурной позиции №38 «Труба стальная» установлены следующие показатели:</w:t>
      </w:r>
    </w:p>
    <w:p>
      <w:pPr>
        <w:pStyle w:val="Style22"/>
        <w:numPr>
          <w:ilvl w:val="0"/>
          <w:numId w:val="3"/>
        </w:numPr>
        <w:widowControl w:val="0"/>
        <w:keepNext w:val="0"/>
        <w:keepLines w:val="0"/>
        <w:shd w:val="clear" w:color="auto" w:fill="auto"/>
        <w:bidi w:val="0"/>
        <w:spacing w:before="0" w:after="0"/>
        <w:ind w:left="60" w:right="20" w:firstLine="520"/>
      </w:pPr>
      <w:r>
        <w:rPr>
          <w:lang w:val="ru-RU" w:eastAsia="ru-RU" w:bidi="ru-RU"/>
          <w:w w:val="100"/>
          <w:spacing w:val="0"/>
          <w:color w:val="000000"/>
          <w:position w:val="0"/>
        </w:rPr>
        <w:t xml:space="preserve"> «Наличие требований о соответствии товара стандартам» с требуемым значением «ГОСТ 10704-91 «Трубы стальные электросварные прямошовные. Сортамент» ГОСТ 10706-76 «Трубы стальные электросварные прямошовные. Технические требования»»;</w:t>
      </w:r>
    </w:p>
    <w:p>
      <w:pPr>
        <w:pStyle w:val="Style22"/>
        <w:numPr>
          <w:ilvl w:val="0"/>
          <w:numId w:val="3"/>
        </w:numPr>
        <w:widowControl w:val="0"/>
        <w:keepNext w:val="0"/>
        <w:keepLines w:val="0"/>
        <w:shd w:val="clear" w:color="auto" w:fill="auto"/>
        <w:bidi w:val="0"/>
        <w:spacing w:before="0" w:after="0"/>
        <w:ind w:left="60" w:right="0" w:firstLine="520"/>
      </w:pPr>
      <w:r>
        <w:rPr>
          <w:lang w:val="ru-RU" w:eastAsia="ru-RU" w:bidi="ru-RU"/>
          <w:w w:val="100"/>
          <w:spacing w:val="0"/>
          <w:color w:val="000000"/>
          <w:position w:val="0"/>
        </w:rPr>
        <w:t xml:space="preserve"> «Наружный диаметр» с требуемым максимальным значением «508 мм»;</w:t>
      </w:r>
    </w:p>
    <w:p>
      <w:pPr>
        <w:pStyle w:val="Style22"/>
        <w:numPr>
          <w:ilvl w:val="0"/>
          <w:numId w:val="3"/>
        </w:numPr>
        <w:widowControl w:val="0"/>
        <w:keepNext w:val="0"/>
        <w:keepLines w:val="0"/>
        <w:shd w:val="clear" w:color="auto" w:fill="auto"/>
        <w:bidi w:val="0"/>
        <w:spacing w:before="0" w:after="0"/>
        <w:ind w:left="60" w:right="0" w:firstLine="520"/>
      </w:pPr>
      <w:r>
        <w:rPr>
          <w:lang w:val="ru-RU" w:eastAsia="ru-RU" w:bidi="ru-RU"/>
          <w:w w:val="100"/>
          <w:spacing w:val="0"/>
          <w:color w:val="000000"/>
          <w:position w:val="0"/>
        </w:rPr>
        <w:t xml:space="preserve"> «Толщина стенки» с требуемым минимальным значением «4,5 мм»;</w:t>
      </w:r>
    </w:p>
    <w:p>
      <w:pPr>
        <w:pStyle w:val="Style22"/>
        <w:numPr>
          <w:ilvl w:val="0"/>
          <w:numId w:val="3"/>
        </w:numPr>
        <w:widowControl w:val="0"/>
        <w:keepNext w:val="0"/>
        <w:keepLines w:val="0"/>
        <w:shd w:val="clear" w:color="auto" w:fill="auto"/>
        <w:bidi w:val="0"/>
        <w:spacing w:before="0" w:after="0"/>
        <w:ind w:left="60" w:right="0" w:firstLine="520"/>
      </w:pPr>
      <w:r>
        <w:rPr>
          <w:lang w:val="ru-RU" w:eastAsia="ru-RU" w:bidi="ru-RU"/>
          <w:w w:val="100"/>
          <w:spacing w:val="0"/>
          <w:color w:val="000000"/>
          <w:position w:val="0"/>
        </w:rPr>
        <w:t xml:space="preserve"> «Теоретическая масса 1 м труб» с требуемым максимальным значением «289,34 кг».</w:t>
      </w:r>
    </w:p>
    <w:p>
      <w:pPr>
        <w:pStyle w:val="Style22"/>
        <w:widowControl w:val="0"/>
        <w:keepNext w:val="0"/>
        <w:keepLines w:val="0"/>
        <w:shd w:val="clear" w:color="auto" w:fill="auto"/>
        <w:bidi w:val="0"/>
        <w:spacing w:before="0" w:after="0"/>
        <w:ind w:left="60" w:right="20" w:firstLine="520"/>
      </w:pPr>
      <w:r>
        <w:rPr>
          <w:lang w:val="ru-RU" w:eastAsia="ru-RU" w:bidi="ru-RU"/>
          <w:w w:val="100"/>
          <w:spacing w:val="0"/>
          <w:color w:val="000000"/>
          <w:position w:val="0"/>
        </w:rPr>
        <w:t>В свою очередь, по данной номенклатурной позиции участником электронного аукциона подтверждено соответствие ГОСТ 10704-91 и ГОСТ 10706-76, а также указана следующая информация:</w:t>
      </w:r>
    </w:p>
    <w:p>
      <w:pPr>
        <w:pStyle w:val="Style22"/>
        <w:numPr>
          <w:ilvl w:val="0"/>
          <w:numId w:val="3"/>
        </w:numPr>
        <w:widowControl w:val="0"/>
        <w:keepNext w:val="0"/>
        <w:keepLines w:val="0"/>
        <w:shd w:val="clear" w:color="auto" w:fill="auto"/>
        <w:bidi w:val="0"/>
        <w:spacing w:before="0" w:after="0"/>
        <w:ind w:left="60" w:right="0" w:firstLine="520"/>
      </w:pPr>
      <w:r>
        <w:rPr>
          <w:lang w:val="ru-RU" w:eastAsia="ru-RU" w:bidi="ru-RU"/>
          <w:w w:val="100"/>
          <w:spacing w:val="0"/>
          <w:color w:val="000000"/>
          <w:position w:val="0"/>
        </w:rPr>
        <w:t xml:space="preserve"> «Наружный диаметр» со значением «</w:t>
      </w:r>
      <w:r>
        <w:rPr>
          <w:rStyle w:val="CharStyle25"/>
        </w:rPr>
        <w:t>508 мм</w:t>
      </w:r>
      <w:r>
        <w:rPr>
          <w:lang w:val="ru-RU" w:eastAsia="ru-RU" w:bidi="ru-RU"/>
          <w:w w:val="100"/>
          <w:spacing w:val="0"/>
          <w:color w:val="000000"/>
          <w:position w:val="0"/>
        </w:rPr>
        <w:t>»;</w:t>
      </w:r>
    </w:p>
    <w:p>
      <w:pPr>
        <w:pStyle w:val="Style22"/>
        <w:numPr>
          <w:ilvl w:val="0"/>
          <w:numId w:val="3"/>
        </w:numPr>
        <w:widowControl w:val="0"/>
        <w:keepNext w:val="0"/>
        <w:keepLines w:val="0"/>
        <w:shd w:val="clear" w:color="auto" w:fill="auto"/>
        <w:bidi w:val="0"/>
        <w:spacing w:before="0" w:after="0"/>
        <w:ind w:left="60" w:right="0" w:firstLine="520"/>
      </w:pPr>
      <w:r>
        <w:rPr>
          <w:lang w:val="ru-RU" w:eastAsia="ru-RU" w:bidi="ru-RU"/>
          <w:w w:val="100"/>
          <w:spacing w:val="0"/>
          <w:color w:val="000000"/>
          <w:position w:val="0"/>
        </w:rPr>
        <w:t xml:space="preserve"> «Толщина стенки» со значением «</w:t>
      </w:r>
      <w:r>
        <w:rPr>
          <w:rStyle w:val="CharStyle25"/>
        </w:rPr>
        <w:t>4,5 мм</w:t>
      </w:r>
      <w:r>
        <w:rPr>
          <w:lang w:val="ru-RU" w:eastAsia="ru-RU" w:bidi="ru-RU"/>
          <w:w w:val="100"/>
          <w:spacing w:val="0"/>
          <w:color w:val="000000"/>
          <w:position w:val="0"/>
        </w:rPr>
        <w:t>»;</w:t>
      </w:r>
    </w:p>
    <w:p>
      <w:pPr>
        <w:pStyle w:val="Style22"/>
        <w:numPr>
          <w:ilvl w:val="0"/>
          <w:numId w:val="3"/>
        </w:numPr>
        <w:widowControl w:val="0"/>
        <w:keepNext w:val="0"/>
        <w:keepLines w:val="0"/>
        <w:shd w:val="clear" w:color="auto" w:fill="auto"/>
        <w:bidi w:val="0"/>
        <w:spacing w:before="0" w:after="0"/>
        <w:ind w:left="60" w:right="0" w:firstLine="520"/>
      </w:pPr>
      <w:r>
        <w:rPr>
          <w:lang w:val="ru-RU" w:eastAsia="ru-RU" w:bidi="ru-RU"/>
          <w:w w:val="100"/>
          <w:spacing w:val="0"/>
          <w:color w:val="000000"/>
          <w:position w:val="0"/>
        </w:rPr>
        <w:t xml:space="preserve"> «Теоретическая масса 1 м труб» со значением «</w:t>
      </w:r>
      <w:r>
        <w:rPr>
          <w:rStyle w:val="CharStyle25"/>
        </w:rPr>
        <w:t>55,88 кг</w:t>
      </w:r>
      <w:r>
        <w:rPr>
          <w:lang w:val="ru-RU" w:eastAsia="ru-RU" w:bidi="ru-RU"/>
          <w:w w:val="100"/>
          <w:spacing w:val="0"/>
          <w:color w:val="000000"/>
          <w:position w:val="0"/>
        </w:rPr>
        <w:t>» (цитата из заявки).</w:t>
      </w:r>
    </w:p>
    <w:p>
      <w:pPr>
        <w:pStyle w:val="Style22"/>
        <w:widowControl w:val="0"/>
        <w:keepNext w:val="0"/>
        <w:keepLines w:val="0"/>
        <w:shd w:val="clear" w:color="auto" w:fill="auto"/>
        <w:bidi w:val="0"/>
        <w:spacing w:before="0" w:after="0"/>
        <w:ind w:left="60" w:right="20" w:firstLine="520"/>
      </w:pPr>
      <w:r>
        <w:rPr>
          <w:lang w:val="ru-RU" w:eastAsia="ru-RU" w:bidi="ru-RU"/>
          <w:w w:val="100"/>
          <w:spacing w:val="0"/>
          <w:color w:val="000000"/>
          <w:position w:val="0"/>
        </w:rPr>
        <w:t>Однако, согласно примечанию к таблице 1 ГОСТ 10704-91 «Трубы стальные электросварные прямошовные. Сортамент» при изготовлении труб по</w:t>
      </w:r>
      <w:r>
        <w:fldChar w:fldCharType="begin"/>
      </w:r>
      <w:r>
        <w:rPr>
          <w:color w:val="000000"/>
        </w:rPr>
        <w:instrText> HYPERLINK "http://docs.cntd.ru/document/1200004728" </w:instrText>
      </w:r>
      <w:r>
        <w:fldChar w:fldCharType="separate"/>
      </w:r>
      <w:r>
        <w:rPr>
          <w:rStyle w:val="Hyperlink"/>
          <w:lang w:val="ru-RU" w:eastAsia="ru-RU" w:bidi="ru-RU"/>
          <w:w w:val="100"/>
          <w:spacing w:val="0"/>
          <w:position w:val="0"/>
        </w:rPr>
        <w:t xml:space="preserve"> </w:t>
      </w:r>
      <w:r>
        <w:rPr>
          <w:rStyle w:val="Hyperlink"/>
        </w:rPr>
        <w:t>ГОСТ 10706</w:t>
      </w:r>
      <w:r>
        <w:rPr>
          <w:rStyle w:val="Hyperlink"/>
        </w:rPr>
        <w:t xml:space="preserve"> </w:t>
      </w:r>
      <w:r>
        <w:fldChar w:fldCharType="end"/>
      </w:r>
      <w:r>
        <w:rPr>
          <w:lang w:val="ru-RU" w:eastAsia="ru-RU" w:bidi="ru-RU"/>
          <w:w w:val="100"/>
          <w:spacing w:val="0"/>
          <w:color w:val="000000"/>
          <w:position w:val="0"/>
        </w:rPr>
        <w:t xml:space="preserve">теоретическая масса увеличивается на 1% за счет усиления шва. При этом, ГОСТ 10706-76 «Трубы стальные электросварные прямошовные. Технические требования» распространяется на прямошовные электросварные трубы общего назначения диаметром </w:t>
      </w:r>
      <w:r>
        <w:rPr>
          <w:rStyle w:val="CharStyle24"/>
        </w:rPr>
        <w:t>478-1420</w:t>
      </w:r>
      <w:r>
        <w:rPr>
          <w:lang w:val="ru-RU" w:eastAsia="ru-RU" w:bidi="ru-RU"/>
          <w:w w:val="100"/>
          <w:spacing w:val="0"/>
          <w:color w:val="000000"/>
          <w:position w:val="0"/>
        </w:rPr>
        <w:t xml:space="preserve"> мм. Таким образом, теоретическая масса 1 м предлагаемой участником трубы, в соответствии с таблицей 1 ГОСТ 10704-91 с учетом требований ГОСТ 10706-76, составляет 55,88 кг + 1% = </w:t>
      </w:r>
      <w:r>
        <w:rPr>
          <w:rStyle w:val="CharStyle25"/>
        </w:rPr>
        <w:t>56,44 кг</w:t>
      </w:r>
      <w:r>
        <w:rPr>
          <w:lang w:val="ru-RU" w:eastAsia="ru-RU" w:bidi="ru-RU"/>
          <w:w w:val="100"/>
          <w:spacing w:val="0"/>
          <w:color w:val="000000"/>
          <w:position w:val="0"/>
        </w:rPr>
        <w:t>.</w:t>
      </w:r>
    </w:p>
    <w:p>
      <w:pPr>
        <w:pStyle w:val="Style22"/>
        <w:tabs>
          <w:tab w:leader="underscore" w:pos="10322" w:val="left"/>
        </w:tabs>
        <w:widowControl w:val="0"/>
        <w:keepNext w:val="0"/>
        <w:keepLines w:val="0"/>
        <w:shd w:val="clear" w:color="auto" w:fill="auto"/>
        <w:bidi w:val="0"/>
        <w:spacing w:before="0" w:after="0"/>
        <w:ind w:left="60" w:right="20" w:firstLine="520"/>
      </w:pPr>
      <w:r>
        <w:rPr>
          <w:lang w:val="ru-RU" w:eastAsia="ru-RU" w:bidi="ru-RU"/>
          <w:w w:val="100"/>
          <w:spacing w:val="0"/>
          <w:color w:val="000000"/>
          <w:position w:val="0"/>
        </w:rPr>
        <w:t xml:space="preserve">Таким образом, участником предложен товар, используемый при выполнении работ не </w:t>
      </w:r>
      <w:r>
        <w:rPr>
          <w:rStyle w:val="CharStyle24"/>
        </w:rPr>
        <w:t>соответствующий требованиям документации об электронном аукционе.</w:t>
      </w:r>
      <w:r>
        <w:rPr>
          <w:lang w:val="ru-RU" w:eastAsia="ru-RU" w:bidi="ru-RU"/>
          <w:w w:val="100"/>
          <w:spacing w:val="0"/>
          <w:color w:val="000000"/>
          <w:position w:val="0"/>
        </w:rPr>
        <w:tab/>
      </w:r>
    </w:p>
    <w:p>
      <w:pPr>
        <w:pStyle w:val="Style5"/>
        <w:widowControl w:val="0"/>
        <w:keepNext w:val="0"/>
        <w:keepLines w:val="0"/>
        <w:shd w:val="clear" w:color="auto" w:fill="auto"/>
        <w:bidi w:val="0"/>
        <w:jc w:val="left"/>
        <w:spacing w:before="0" w:after="0" w:line="317" w:lineRule="exact"/>
        <w:ind w:left="60" w:right="0" w:firstLine="880"/>
      </w:pPr>
      <w:r>
        <w:rPr>
          <w:rStyle w:val="CharStyle28"/>
        </w:rPr>
        <w:t>...»</w:t>
      </w:r>
      <w:r>
        <w:rPr>
          <w:lang w:val="ru-RU" w:eastAsia="ru-RU" w:bidi="ru-RU"/>
          <w:w w:val="100"/>
          <w:spacing w:val="0"/>
          <w:color w:val="000000"/>
          <w:position w:val="0"/>
        </w:rPr>
        <w:t xml:space="preserve"> (цитата Протокола рассмотрения).</w:t>
      </w:r>
    </w:p>
    <w:p>
      <w:pPr>
        <w:pStyle w:val="Style5"/>
        <w:tabs>
          <w:tab w:leader="underscore" w:pos="6569" w:val="left"/>
          <w:tab w:leader="underscore" w:pos="9406" w:val="left"/>
          <w:tab w:leader="underscore" w:pos="10322" w:val="left"/>
        </w:tabs>
        <w:widowControl w:val="0"/>
        <w:keepNext w:val="0"/>
        <w:keepLines w:val="0"/>
        <w:shd w:val="clear" w:color="auto" w:fill="auto"/>
        <w:bidi w:val="0"/>
        <w:jc w:val="left"/>
        <w:spacing w:before="0" w:after="0" w:line="317" w:lineRule="exact"/>
        <w:ind w:left="60" w:right="160" w:firstLine="880"/>
      </w:pPr>
      <w:r>
        <w:rPr>
          <w:lang w:val="ru-RU" w:eastAsia="ru-RU" w:bidi="ru-RU"/>
          <w:w w:val="100"/>
          <w:spacing w:val="0"/>
          <w:color w:val="000000"/>
          <w:position w:val="0"/>
        </w:rPr>
        <w:t xml:space="preserve">Документация об Аукционе содержит следующие требования к товарам, </w:t>
      </w:r>
      <w:r>
        <w:rPr>
          <w:rStyle w:val="CharStyle13"/>
        </w:rPr>
        <w:t xml:space="preserve">используемым при выполнении работ: </w:t>
      </w:r>
      <w:r>
        <w:rPr>
          <w:rStyle w:val="CharStyle29"/>
        </w:rPr>
        <w:t>«...</w:t>
      </w:r>
      <w:r>
        <w:rPr>
          <w:rStyle w:val="CharStyle28"/>
        </w:rPr>
        <w:t xml:space="preserve"> </w:t>
        <w:tab/>
        <w:t xml:space="preserve"> </w:t>
        <w:tab/>
        <w:tab/>
      </w:r>
    </w:p>
    <w:tbl>
      <w:tblPr>
        <w:tblOverlap w:val="never"/>
        <w:tblLayout w:type="fixed"/>
        <w:jc w:val="center"/>
      </w:tblPr>
      <w:tblGrid>
        <w:gridCol w:w="715"/>
        <w:gridCol w:w="1138"/>
        <w:gridCol w:w="1843"/>
        <w:gridCol w:w="706"/>
        <w:gridCol w:w="850"/>
        <w:gridCol w:w="1277"/>
        <w:gridCol w:w="566"/>
        <w:gridCol w:w="571"/>
        <w:gridCol w:w="1699"/>
        <w:gridCol w:w="1003"/>
      </w:tblGrid>
      <w:tr>
        <w:trPr>
          <w:trHeight w:val="206" w:hRule="exact"/>
        </w:trPr>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8" w:wrap="notBeside" w:vAnchor="text" w:hAnchor="text" w:xAlign="center" w:y="1"/>
              <w:widowControl w:val="0"/>
              <w:rPr>
                <w:sz w:val="10"/>
                <w:szCs w:val="10"/>
              </w:rPr>
            </w:pPr>
          </w:p>
        </w:tc>
      </w:tr>
      <w:tr>
        <w:trPr>
          <w:trHeight w:val="379" w:hRule="exact"/>
        </w:trPr>
        <w:tc>
          <w:tcPr>
            <w:shd w:val="clear" w:color="auto" w:fill="FFFFFF"/>
            <w:vMerge w:val="restart"/>
            <w:tcBorders>
              <w:left w:val="single" w:sz="4"/>
              <w:top w:val="single" w:sz="4"/>
            </w:tcBorders>
            <w:vAlign w:val="top"/>
          </w:tcPr>
          <w:p>
            <w:pPr>
              <w:pStyle w:val="Style5"/>
              <w:framePr w:w="10368"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30"/>
              </w:rPr>
              <w:t>38</w:t>
            </w:r>
          </w:p>
        </w:tc>
        <w:tc>
          <w:tcPr>
            <w:shd w:val="clear" w:color="auto" w:fill="FFFFFF"/>
            <w:vMerge w:val="restart"/>
            <w:tcBorders>
              <w:left w:val="single" w:sz="4"/>
              <w:top w:val="single" w:sz="4"/>
            </w:tcBorders>
            <w:vAlign w:val="top"/>
          </w:tcPr>
          <w:p>
            <w:pPr>
              <w:pStyle w:val="Style5"/>
              <w:framePr w:w="10368" w:wrap="notBeside" w:vAnchor="text" w:hAnchor="text" w:xAlign="center" w:y="1"/>
              <w:widowControl w:val="0"/>
              <w:keepNext w:val="0"/>
              <w:keepLines w:val="0"/>
              <w:shd w:val="clear" w:color="auto" w:fill="auto"/>
              <w:bidi w:val="0"/>
              <w:jc w:val="left"/>
              <w:spacing w:before="0" w:after="60" w:line="150" w:lineRule="exact"/>
              <w:ind w:left="120" w:right="0" w:firstLine="0"/>
            </w:pPr>
            <w:r>
              <w:rPr>
                <w:rStyle w:val="CharStyle30"/>
              </w:rPr>
              <w:t>Труба</w:t>
            </w:r>
          </w:p>
          <w:p>
            <w:pPr>
              <w:pStyle w:val="Style5"/>
              <w:framePr w:w="10368" w:wrap="notBeside" w:vAnchor="text" w:hAnchor="text" w:xAlign="center" w:y="1"/>
              <w:widowControl w:val="0"/>
              <w:keepNext w:val="0"/>
              <w:keepLines w:val="0"/>
              <w:shd w:val="clear" w:color="auto" w:fill="auto"/>
              <w:bidi w:val="0"/>
              <w:jc w:val="left"/>
              <w:spacing w:before="60" w:after="0" w:line="150" w:lineRule="exact"/>
              <w:ind w:left="120" w:right="0" w:firstLine="0"/>
            </w:pPr>
            <w:r>
              <w:rPr>
                <w:rStyle w:val="CharStyle30"/>
              </w:rPr>
              <w:t>стальная</w:t>
            </w:r>
          </w:p>
        </w:tc>
        <w:tc>
          <w:tcPr>
            <w:shd w:val="clear" w:color="auto" w:fill="FFFFFF"/>
            <w:tcBorders>
              <w:left w:val="single" w:sz="4"/>
              <w:top w:val="single" w:sz="4"/>
            </w:tcBorders>
            <w:vAlign w:val="top"/>
          </w:tcPr>
          <w:p>
            <w:pPr>
              <w:pStyle w:val="Style5"/>
              <w:framePr w:w="10368" w:wrap="notBeside" w:vAnchor="text" w:hAnchor="text" w:xAlign="center" w:y="1"/>
              <w:widowControl w:val="0"/>
              <w:keepNext w:val="0"/>
              <w:keepLines w:val="0"/>
              <w:shd w:val="clear" w:color="auto" w:fill="auto"/>
              <w:bidi w:val="0"/>
              <w:jc w:val="both"/>
              <w:spacing w:before="0" w:after="0" w:line="150" w:lineRule="exact"/>
              <w:ind w:left="0" w:right="0" w:firstLine="0"/>
            </w:pPr>
            <w:r>
              <w:rPr>
                <w:rStyle w:val="CharStyle30"/>
              </w:rPr>
              <w:t>Марка стали</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5"/>
              <w:framePr w:w="10368" w:wrap="notBeside" w:vAnchor="text" w:hAnchor="text" w:xAlign="center" w:y="1"/>
              <w:widowControl w:val="0"/>
              <w:keepNext w:val="0"/>
              <w:keepLines w:val="0"/>
              <w:shd w:val="clear" w:color="auto" w:fill="auto"/>
              <w:bidi w:val="0"/>
              <w:jc w:val="both"/>
              <w:spacing w:before="0" w:after="0" w:line="187" w:lineRule="exact"/>
              <w:ind w:left="0" w:right="0" w:firstLine="0"/>
            </w:pPr>
            <w:r>
              <w:rPr>
                <w:rStyle w:val="CharStyle30"/>
              </w:rPr>
              <w:t>Ст2кп, Ст3кп, Ст2пс, Ст3пс</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vMerge w:val="restart"/>
            <w:tcBorders>
              <w:left w:val="single" w:sz="4"/>
              <w:top w:val="single" w:sz="4"/>
            </w:tcBorders>
            <w:vAlign w:val="bottom"/>
          </w:tcPr>
          <w:p>
            <w:pPr>
              <w:pStyle w:val="Style5"/>
              <w:framePr w:w="10368"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0"/>
              </w:rPr>
              <w:t>ГОСТ 10704-91</w:t>
            </w:r>
          </w:p>
          <w:p>
            <w:pPr>
              <w:pStyle w:val="Style5"/>
              <w:framePr w:w="10368"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0"/>
              </w:rPr>
              <w:t>«Трубы стальные</w:t>
            </w:r>
          </w:p>
          <w:p>
            <w:pPr>
              <w:pStyle w:val="Style5"/>
              <w:framePr w:w="10368"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0"/>
              </w:rPr>
              <w:t>электросварные</w:t>
            </w:r>
          </w:p>
          <w:p>
            <w:pPr>
              <w:pStyle w:val="Style5"/>
              <w:framePr w:w="10368"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0"/>
              </w:rPr>
              <w:t>прямошовные.</w:t>
            </w:r>
          </w:p>
          <w:p>
            <w:pPr>
              <w:pStyle w:val="Style5"/>
              <w:framePr w:w="10368"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0"/>
              </w:rPr>
              <w:t>Сортамент»</w:t>
            </w:r>
          </w:p>
          <w:p>
            <w:pPr>
              <w:pStyle w:val="Style5"/>
              <w:framePr w:w="10368"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0"/>
              </w:rPr>
              <w:t>ГОСТ 10706-76</w:t>
            </w:r>
          </w:p>
          <w:p>
            <w:pPr>
              <w:pStyle w:val="Style5"/>
              <w:framePr w:w="10368"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0"/>
              </w:rPr>
              <w:t>«Трубы стальные</w:t>
            </w:r>
          </w:p>
          <w:p>
            <w:pPr>
              <w:pStyle w:val="Style5"/>
              <w:framePr w:w="10368"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0"/>
              </w:rPr>
              <w:t>электросварные</w:t>
            </w:r>
          </w:p>
          <w:p>
            <w:pPr>
              <w:pStyle w:val="Style5"/>
              <w:framePr w:w="10368"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0"/>
              </w:rPr>
              <w:t>прямошовные.</w:t>
            </w:r>
          </w:p>
          <w:p>
            <w:pPr>
              <w:pStyle w:val="Style5"/>
              <w:framePr w:w="10368"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0"/>
              </w:rPr>
              <w:t>Технические</w:t>
            </w:r>
          </w:p>
          <w:p>
            <w:pPr>
              <w:pStyle w:val="Style5"/>
              <w:framePr w:w="10368"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0"/>
              </w:rPr>
              <w:t>требования»</w:t>
            </w:r>
          </w:p>
        </w:tc>
        <w:tc>
          <w:tcPr>
            <w:shd w:val="clear" w:color="auto" w:fill="FFFFFF"/>
            <w:tcBorders>
              <w:left w:val="single" w:sz="4"/>
              <w:right w:val="single" w:sz="4"/>
              <w:top w:val="single" w:sz="4"/>
            </w:tcBorders>
            <w:vAlign w:val="top"/>
          </w:tcPr>
          <w:p>
            <w:pPr>
              <w:framePr w:w="10368" w:wrap="notBeside" w:vAnchor="text" w:hAnchor="text" w:xAlign="center" w:y="1"/>
              <w:widowControl w:val="0"/>
              <w:rPr>
                <w:sz w:val="10"/>
                <w:szCs w:val="10"/>
              </w:rPr>
            </w:pPr>
          </w:p>
        </w:tc>
      </w:tr>
      <w:tr>
        <w:trPr>
          <w:trHeight w:val="192" w:hRule="exact"/>
        </w:trPr>
        <w:tc>
          <w:tcPr>
            <w:shd w:val="clear" w:color="auto" w:fill="FFFFFF"/>
            <w:vMerge/>
            <w:tcBorders>
              <w:left w:val="single" w:sz="4"/>
            </w:tcBorders>
            <w:vAlign w:val="top"/>
          </w:tcPr>
          <w:p>
            <w:pPr>
              <w:framePr w:w="10368" w:wrap="notBeside" w:vAnchor="text" w:hAnchor="text" w:xAlign="center" w:y="1"/>
            </w:pPr>
          </w:p>
        </w:tc>
        <w:tc>
          <w:tcPr>
            <w:shd w:val="clear" w:color="auto" w:fill="FFFFFF"/>
            <w:vMerge/>
            <w:tcBorders>
              <w:left w:val="single" w:sz="4"/>
            </w:tcBorders>
            <w:vAlign w:val="top"/>
          </w:tcPr>
          <w:p>
            <w:pPr>
              <w:framePr w:w="10368" w:wrap="notBeside" w:vAnchor="text" w:hAnchor="text" w:xAlign="center" w:y="1"/>
            </w:pPr>
          </w:p>
        </w:tc>
        <w:tc>
          <w:tcPr>
            <w:shd w:val="clear" w:color="auto" w:fill="FFFFFF"/>
            <w:tcBorders>
              <w:left w:val="single" w:sz="4"/>
              <w:top w:val="single" w:sz="4"/>
            </w:tcBorders>
            <w:vAlign w:val="bottom"/>
          </w:tcPr>
          <w:p>
            <w:pPr>
              <w:pStyle w:val="Style5"/>
              <w:framePr w:w="10368" w:wrap="notBeside" w:vAnchor="text" w:hAnchor="text" w:xAlign="center" w:y="1"/>
              <w:widowControl w:val="0"/>
              <w:keepNext w:val="0"/>
              <w:keepLines w:val="0"/>
              <w:shd w:val="clear" w:color="auto" w:fill="auto"/>
              <w:bidi w:val="0"/>
              <w:jc w:val="both"/>
              <w:spacing w:before="0" w:after="0" w:line="150" w:lineRule="exact"/>
              <w:ind w:left="0" w:right="0" w:firstLine="0"/>
            </w:pPr>
            <w:r>
              <w:rPr>
                <w:rStyle w:val="CharStyle30"/>
              </w:rPr>
              <w:t>Наружный диаметр</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5"/>
              <w:framePr w:w="10368"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30"/>
              </w:rPr>
              <w:t>508 мм</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vMerge/>
            <w:tcBorders>
              <w:left w:val="single" w:sz="4"/>
            </w:tcBorders>
            <w:vAlign w:val="top"/>
          </w:tcPr>
          <w:p>
            <w:pPr>
              <w:framePr w:w="10368" w:wrap="notBeside" w:vAnchor="text" w:hAnchor="text" w:xAlign="center" w:y="1"/>
            </w:pPr>
          </w:p>
        </w:tc>
        <w:tc>
          <w:tcPr>
            <w:shd w:val="clear" w:color="auto" w:fill="FFFFFF"/>
            <w:vMerge/>
            <w:tcBorders>
              <w:left w:val="single" w:sz="4"/>
            </w:tcBorders>
            <w:vAlign w:val="bottom"/>
          </w:tcPr>
          <w:p>
            <w:pPr>
              <w:framePr w:w="10368" w:wrap="notBeside" w:vAnchor="text" w:hAnchor="text" w:xAlign="center" w:y="1"/>
            </w:pPr>
          </w:p>
        </w:tc>
        <w:tc>
          <w:tcPr>
            <w:shd w:val="clear" w:color="auto" w:fill="FFFFFF"/>
            <w:tcBorders>
              <w:left w:val="single" w:sz="4"/>
              <w:right w:val="single" w:sz="4"/>
              <w:top w:val="single" w:sz="4"/>
            </w:tcBorders>
            <w:vAlign w:val="top"/>
          </w:tcPr>
          <w:p>
            <w:pPr>
              <w:framePr w:w="10368" w:wrap="notBeside" w:vAnchor="text" w:hAnchor="text" w:xAlign="center" w:y="1"/>
              <w:widowControl w:val="0"/>
              <w:rPr>
                <w:sz w:val="10"/>
                <w:szCs w:val="10"/>
              </w:rPr>
            </w:pPr>
          </w:p>
        </w:tc>
      </w:tr>
      <w:tr>
        <w:trPr>
          <w:trHeight w:val="192" w:hRule="exact"/>
        </w:trPr>
        <w:tc>
          <w:tcPr>
            <w:shd w:val="clear" w:color="auto" w:fill="FFFFFF"/>
            <w:vMerge/>
            <w:tcBorders>
              <w:left w:val="single" w:sz="4"/>
            </w:tcBorders>
            <w:vAlign w:val="top"/>
          </w:tcPr>
          <w:p>
            <w:pPr>
              <w:framePr w:w="10368" w:wrap="notBeside" w:vAnchor="text" w:hAnchor="text" w:xAlign="center" w:y="1"/>
            </w:pPr>
          </w:p>
        </w:tc>
        <w:tc>
          <w:tcPr>
            <w:shd w:val="clear" w:color="auto" w:fill="FFFFFF"/>
            <w:vMerge/>
            <w:tcBorders>
              <w:left w:val="single" w:sz="4"/>
            </w:tcBorders>
            <w:vAlign w:val="top"/>
          </w:tcPr>
          <w:p>
            <w:pPr>
              <w:framePr w:w="10368" w:wrap="notBeside" w:vAnchor="text" w:hAnchor="text" w:xAlign="center" w:y="1"/>
            </w:pPr>
          </w:p>
        </w:tc>
        <w:tc>
          <w:tcPr>
            <w:shd w:val="clear" w:color="auto" w:fill="FFFFFF"/>
            <w:tcBorders>
              <w:left w:val="single" w:sz="4"/>
              <w:top w:val="single" w:sz="4"/>
            </w:tcBorders>
            <w:vAlign w:val="bottom"/>
          </w:tcPr>
          <w:p>
            <w:pPr>
              <w:pStyle w:val="Style5"/>
              <w:framePr w:w="10368" w:wrap="notBeside" w:vAnchor="text" w:hAnchor="text" w:xAlign="center" w:y="1"/>
              <w:widowControl w:val="0"/>
              <w:keepNext w:val="0"/>
              <w:keepLines w:val="0"/>
              <w:shd w:val="clear" w:color="auto" w:fill="auto"/>
              <w:bidi w:val="0"/>
              <w:jc w:val="both"/>
              <w:spacing w:before="0" w:after="0" w:line="150" w:lineRule="exact"/>
              <w:ind w:left="0" w:right="0" w:firstLine="0"/>
            </w:pPr>
            <w:r>
              <w:rPr>
                <w:rStyle w:val="CharStyle30"/>
              </w:rPr>
              <w:t>Толщина стенки</w:t>
            </w:r>
          </w:p>
        </w:tc>
        <w:tc>
          <w:tcPr>
            <w:shd w:val="clear" w:color="auto" w:fill="FFFFFF"/>
            <w:tcBorders>
              <w:left w:val="single" w:sz="4"/>
              <w:top w:val="single" w:sz="4"/>
            </w:tcBorders>
            <w:vAlign w:val="bottom"/>
          </w:tcPr>
          <w:p>
            <w:pPr>
              <w:pStyle w:val="Style5"/>
              <w:framePr w:w="10368"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30"/>
              </w:rPr>
              <w:t>4,5 мм</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vMerge/>
            <w:tcBorders>
              <w:left w:val="single" w:sz="4"/>
            </w:tcBorders>
            <w:vAlign w:val="top"/>
          </w:tcPr>
          <w:p>
            <w:pPr>
              <w:framePr w:w="10368" w:wrap="notBeside" w:vAnchor="text" w:hAnchor="text" w:xAlign="center" w:y="1"/>
            </w:pPr>
          </w:p>
        </w:tc>
        <w:tc>
          <w:tcPr>
            <w:shd w:val="clear" w:color="auto" w:fill="FFFFFF"/>
            <w:vMerge/>
            <w:tcBorders>
              <w:left w:val="single" w:sz="4"/>
            </w:tcBorders>
            <w:vAlign w:val="bottom"/>
          </w:tcPr>
          <w:p>
            <w:pPr>
              <w:framePr w:w="10368" w:wrap="notBeside" w:vAnchor="text" w:hAnchor="text" w:xAlign="center" w:y="1"/>
            </w:pPr>
          </w:p>
        </w:tc>
        <w:tc>
          <w:tcPr>
            <w:shd w:val="clear" w:color="auto" w:fill="FFFFFF"/>
            <w:tcBorders>
              <w:left w:val="single" w:sz="4"/>
              <w:right w:val="single" w:sz="4"/>
              <w:top w:val="single" w:sz="4"/>
            </w:tcBorders>
            <w:vAlign w:val="top"/>
          </w:tcPr>
          <w:p>
            <w:pPr>
              <w:framePr w:w="10368" w:wrap="notBeside" w:vAnchor="text" w:hAnchor="text" w:xAlign="center" w:y="1"/>
              <w:widowControl w:val="0"/>
              <w:rPr>
                <w:sz w:val="10"/>
                <w:szCs w:val="10"/>
              </w:rPr>
            </w:pPr>
          </w:p>
        </w:tc>
      </w:tr>
      <w:tr>
        <w:trPr>
          <w:trHeight w:val="1272" w:hRule="exact"/>
        </w:trPr>
        <w:tc>
          <w:tcPr>
            <w:shd w:val="clear" w:color="auto" w:fill="FFFFFF"/>
            <w:vMerge/>
            <w:tcBorders>
              <w:left w:val="single" w:sz="4"/>
            </w:tcBorders>
            <w:vAlign w:val="top"/>
          </w:tcPr>
          <w:p>
            <w:pPr>
              <w:framePr w:w="10368" w:wrap="notBeside" w:vAnchor="text" w:hAnchor="text" w:xAlign="center" w:y="1"/>
            </w:pPr>
          </w:p>
        </w:tc>
        <w:tc>
          <w:tcPr>
            <w:shd w:val="clear" w:color="auto" w:fill="FFFFFF"/>
            <w:vMerge/>
            <w:tcBorders>
              <w:left w:val="single" w:sz="4"/>
            </w:tcBorders>
            <w:vAlign w:val="top"/>
          </w:tcPr>
          <w:p>
            <w:pPr>
              <w:framePr w:w="10368" w:wrap="notBeside" w:vAnchor="text" w:hAnchor="text" w:xAlign="center" w:y="1"/>
            </w:pPr>
          </w:p>
        </w:tc>
        <w:tc>
          <w:tcPr>
            <w:shd w:val="clear" w:color="auto" w:fill="FFFFFF"/>
            <w:tcBorders>
              <w:left w:val="single" w:sz="4"/>
              <w:top w:val="single" w:sz="4"/>
            </w:tcBorders>
            <w:vAlign w:val="top"/>
          </w:tcPr>
          <w:p>
            <w:pPr>
              <w:pStyle w:val="Style5"/>
              <w:framePr w:w="10368"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30"/>
              </w:rPr>
              <w:t>Теоретическая масса 1 м труб</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5"/>
              <w:framePr w:w="10368"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30"/>
              </w:rPr>
              <w:t>289,34 кг</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vMerge/>
            <w:tcBorders>
              <w:left w:val="single" w:sz="4"/>
            </w:tcBorders>
            <w:vAlign w:val="top"/>
          </w:tcPr>
          <w:p>
            <w:pPr>
              <w:framePr w:w="10368" w:wrap="notBeside" w:vAnchor="text" w:hAnchor="text" w:xAlign="center" w:y="1"/>
            </w:pPr>
          </w:p>
        </w:tc>
        <w:tc>
          <w:tcPr>
            <w:shd w:val="clear" w:color="auto" w:fill="FFFFFF"/>
            <w:vMerge/>
            <w:tcBorders>
              <w:left w:val="single" w:sz="4"/>
            </w:tcBorders>
            <w:vAlign w:val="bottom"/>
          </w:tcPr>
          <w:p>
            <w:pPr>
              <w:framePr w:w="10368" w:wrap="notBeside" w:vAnchor="text" w:hAnchor="text" w:xAlign="center" w:y="1"/>
            </w:pPr>
          </w:p>
        </w:tc>
        <w:tc>
          <w:tcPr>
            <w:shd w:val="clear" w:color="auto" w:fill="FFFFFF"/>
            <w:tcBorders>
              <w:left w:val="single" w:sz="4"/>
              <w:right w:val="single" w:sz="4"/>
              <w:top w:val="single" w:sz="4"/>
            </w:tcBorders>
            <w:vAlign w:val="top"/>
          </w:tcPr>
          <w:p>
            <w:pPr>
              <w:framePr w:w="10368" w:wrap="notBeside" w:vAnchor="text" w:hAnchor="text" w:xAlign="center" w:y="1"/>
              <w:widowControl w:val="0"/>
              <w:rPr>
                <w:sz w:val="10"/>
                <w:szCs w:val="10"/>
              </w:rPr>
            </w:pPr>
          </w:p>
        </w:tc>
      </w:tr>
      <w:tr>
        <w:trPr>
          <w:trHeight w:val="264" w:hRule="exact"/>
        </w:trPr>
        <w:tc>
          <w:tcPr>
            <w:shd w:val="clear" w:color="auto" w:fill="FFFFFF"/>
            <w:tcBorders>
              <w:left w:val="single" w:sz="4"/>
              <w:top w:val="single" w:sz="4"/>
              <w:bottom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368" w:wrap="notBeside" w:vAnchor="text" w:hAnchor="text" w:xAlign="center" w:y="1"/>
              <w:widowControl w:val="0"/>
              <w:rPr>
                <w:sz w:val="10"/>
                <w:szCs w:val="10"/>
              </w:rPr>
            </w:pPr>
          </w:p>
        </w:tc>
      </w:tr>
    </w:tbl>
    <w:p>
      <w:pPr>
        <w:widowControl w:val="0"/>
        <w:rPr>
          <w:sz w:val="2"/>
          <w:szCs w:val="2"/>
        </w:rPr>
      </w:pPr>
    </w:p>
    <w:p>
      <w:pPr>
        <w:pStyle w:val="Style5"/>
        <w:widowControl w:val="0"/>
        <w:keepNext w:val="0"/>
        <w:keepLines w:val="0"/>
        <w:shd w:val="clear" w:color="auto" w:fill="auto"/>
        <w:bidi w:val="0"/>
        <w:jc w:val="left"/>
        <w:spacing w:before="0" w:after="0" w:line="260" w:lineRule="exact"/>
        <w:ind w:left="60" w:right="0" w:firstLine="880"/>
      </w:pPr>
      <w:r>
        <w:rPr>
          <w:rStyle w:val="CharStyle28"/>
        </w:rPr>
        <w:t>.»</w:t>
      </w:r>
      <w:r>
        <w:rPr>
          <w:lang w:val="ru-RU" w:eastAsia="ru-RU" w:bidi="ru-RU"/>
          <w:w w:val="100"/>
          <w:spacing w:val="0"/>
          <w:color w:val="000000"/>
          <w:position w:val="0"/>
        </w:rPr>
        <w:t xml:space="preserve"> (цитаты).</w:t>
      </w:r>
    </w:p>
    <w:p>
      <w:pPr>
        <w:pStyle w:val="Style5"/>
        <w:widowControl w:val="0"/>
        <w:keepNext w:val="0"/>
        <w:keepLines w:val="0"/>
        <w:shd w:val="clear" w:color="auto" w:fill="auto"/>
        <w:bidi w:val="0"/>
        <w:jc w:val="both"/>
        <w:spacing w:before="0" w:after="0"/>
        <w:ind w:left="60" w:right="160" w:firstLine="520"/>
      </w:pPr>
      <w:r>
        <w:rPr>
          <w:lang w:val="ru-RU" w:eastAsia="ru-RU" w:bidi="ru-RU"/>
          <w:w w:val="100"/>
          <w:spacing w:val="0"/>
          <w:color w:val="000000"/>
          <w:position w:val="0"/>
        </w:rPr>
        <w:t>На заседании Комиссии представитель Уполномоченного органа пояснил, что Заявитель в первой части заявки при описании товара указал конкретные показатели, не соответствующие требованиям регламентирующего ГОСТа:</w:t>
      </w:r>
    </w:p>
    <w:p>
      <w:pPr>
        <w:pStyle w:val="Style22"/>
        <w:widowControl w:val="0"/>
        <w:keepNext w:val="0"/>
        <w:keepLines w:val="0"/>
        <w:shd w:val="clear" w:color="auto" w:fill="auto"/>
        <w:bidi w:val="0"/>
        <w:spacing w:before="0" w:after="0" w:line="322" w:lineRule="exact"/>
        <w:ind w:left="60" w:right="0" w:firstLine="0"/>
      </w:pPr>
      <w:r>
        <w:rPr>
          <w:rStyle w:val="CharStyle31"/>
        </w:rPr>
        <w:t>«</w:t>
      </w:r>
      <w:r>
        <w:rPr>
          <w:lang w:val="ru-RU" w:eastAsia="ru-RU" w:bidi="ru-RU"/>
          <w:w w:val="100"/>
          <w:spacing w:val="0"/>
          <w:color w:val="000000"/>
          <w:position w:val="0"/>
        </w:rPr>
        <w:t xml:space="preserve"> Согласно приложению №2 к разделу IV документации об аукционе в электронной форме по</w:t>
      </w:r>
    </w:p>
    <w:p>
      <w:pPr>
        <w:pStyle w:val="Style22"/>
        <w:widowControl w:val="0"/>
        <w:keepNext w:val="0"/>
        <w:keepLines w:val="0"/>
        <w:shd w:val="clear" w:color="auto" w:fill="auto"/>
        <w:bidi w:val="0"/>
        <w:spacing w:before="0" w:after="0"/>
        <w:ind w:left="60" w:right="0" w:firstLine="0"/>
      </w:pPr>
      <w:r>
        <w:rPr>
          <w:lang w:val="ru-RU" w:eastAsia="ru-RU" w:bidi="ru-RU"/>
          <w:w w:val="100"/>
          <w:spacing w:val="0"/>
          <w:color w:val="000000"/>
          <w:position w:val="0"/>
        </w:rPr>
        <w:t>номенклатурной позиции №38 «Труба стальная» установлены следующие показатели:</w:t>
      </w:r>
    </w:p>
    <w:p>
      <w:pPr>
        <w:pStyle w:val="Style22"/>
        <w:numPr>
          <w:ilvl w:val="0"/>
          <w:numId w:val="3"/>
        </w:numPr>
        <w:widowControl w:val="0"/>
        <w:keepNext w:val="0"/>
        <w:keepLines w:val="0"/>
        <w:shd w:val="clear" w:color="auto" w:fill="auto"/>
        <w:bidi w:val="0"/>
        <w:spacing w:before="0" w:after="0"/>
        <w:ind w:left="60" w:right="160" w:firstLine="520"/>
      </w:pPr>
      <w:r>
        <w:rPr>
          <w:lang w:val="ru-RU" w:eastAsia="ru-RU" w:bidi="ru-RU"/>
          <w:w w:val="100"/>
          <w:spacing w:val="0"/>
          <w:color w:val="000000"/>
          <w:position w:val="0"/>
        </w:rPr>
        <w:t xml:space="preserve"> «Наличие требований о соответствии товара стандартам» с требуемым значением «ГОСТ 10704-91 «Трубы стальные электросварные прямошовные. Сортамент» ГОСТ 10706-76 «Трубы стальные электросварные прямошовные. Технические требования»»;</w:t>
      </w:r>
    </w:p>
    <w:p>
      <w:pPr>
        <w:pStyle w:val="Style22"/>
        <w:numPr>
          <w:ilvl w:val="0"/>
          <w:numId w:val="3"/>
        </w:numPr>
        <w:widowControl w:val="0"/>
        <w:keepNext w:val="0"/>
        <w:keepLines w:val="0"/>
        <w:shd w:val="clear" w:color="auto" w:fill="auto"/>
        <w:bidi w:val="0"/>
        <w:spacing w:before="0" w:after="0"/>
        <w:ind w:left="60" w:right="0" w:firstLine="520"/>
      </w:pPr>
      <w:r>
        <w:rPr>
          <w:lang w:val="ru-RU" w:eastAsia="ru-RU" w:bidi="ru-RU"/>
          <w:w w:val="100"/>
          <w:spacing w:val="0"/>
          <w:color w:val="000000"/>
          <w:position w:val="0"/>
        </w:rPr>
        <w:t xml:space="preserve"> «Наружный диаметр» с требуемым максимальным значением «508 мм»;</w:t>
      </w:r>
    </w:p>
    <w:p>
      <w:pPr>
        <w:pStyle w:val="Style22"/>
        <w:numPr>
          <w:ilvl w:val="0"/>
          <w:numId w:val="3"/>
        </w:numPr>
        <w:widowControl w:val="0"/>
        <w:keepNext w:val="0"/>
        <w:keepLines w:val="0"/>
        <w:shd w:val="clear" w:color="auto" w:fill="auto"/>
        <w:bidi w:val="0"/>
        <w:spacing w:before="0" w:after="0"/>
        <w:ind w:left="60" w:right="0" w:firstLine="520"/>
      </w:pPr>
      <w:r>
        <w:rPr>
          <w:lang w:val="ru-RU" w:eastAsia="ru-RU" w:bidi="ru-RU"/>
          <w:w w:val="100"/>
          <w:spacing w:val="0"/>
          <w:color w:val="000000"/>
          <w:position w:val="0"/>
        </w:rPr>
        <w:t xml:space="preserve"> «Толщина стенки» с требуемым минимальным значением «4,5 мм»;</w:t>
      </w:r>
    </w:p>
    <w:p>
      <w:pPr>
        <w:pStyle w:val="Style22"/>
        <w:numPr>
          <w:ilvl w:val="0"/>
          <w:numId w:val="3"/>
        </w:numPr>
        <w:widowControl w:val="0"/>
        <w:keepNext w:val="0"/>
        <w:keepLines w:val="0"/>
        <w:shd w:val="clear" w:color="auto" w:fill="auto"/>
        <w:bidi w:val="0"/>
        <w:spacing w:before="0" w:after="0"/>
        <w:ind w:left="60" w:right="0" w:firstLine="520"/>
      </w:pPr>
      <w:r>
        <w:rPr>
          <w:lang w:val="ru-RU" w:eastAsia="ru-RU" w:bidi="ru-RU"/>
          <w:w w:val="100"/>
          <w:spacing w:val="0"/>
          <w:color w:val="000000"/>
          <w:position w:val="0"/>
        </w:rPr>
        <w:t xml:space="preserve"> «Теоретическая масса 1 м труб» с требуемым максимальным значением «289,34 кг».</w:t>
      </w:r>
      <w:r>
        <w:br w:type="page"/>
      </w:r>
    </w:p>
    <w:p>
      <w:pPr>
        <w:pStyle w:val="Style22"/>
        <w:widowControl w:val="0"/>
        <w:keepNext w:val="0"/>
        <w:keepLines w:val="0"/>
        <w:shd w:val="clear" w:color="auto" w:fill="auto"/>
        <w:bidi w:val="0"/>
        <w:spacing w:before="0" w:after="0" w:line="278" w:lineRule="exact"/>
        <w:ind w:left="20" w:right="20" w:firstLine="540"/>
      </w:pPr>
      <w:r>
        <w:rPr>
          <w:lang w:val="ru-RU" w:eastAsia="ru-RU" w:bidi="ru-RU"/>
          <w:w w:val="100"/>
          <w:spacing w:val="0"/>
          <w:color w:val="000000"/>
          <w:position w:val="0"/>
        </w:rPr>
        <w:t>В свою очередь, по данной номенклатурной позиции участником электронного аукциона подтверждено соответствие ГОСТ 10704-91 и ГОСТ 10706-76, а также указана следующая информация:</w:t>
      </w:r>
    </w:p>
    <w:p>
      <w:pPr>
        <w:pStyle w:val="Style22"/>
        <w:numPr>
          <w:ilvl w:val="0"/>
          <w:numId w:val="3"/>
        </w:numPr>
        <w:widowControl w:val="0"/>
        <w:keepNext w:val="0"/>
        <w:keepLines w:val="0"/>
        <w:shd w:val="clear" w:color="auto" w:fill="auto"/>
        <w:bidi w:val="0"/>
        <w:spacing w:before="0" w:after="0" w:line="278" w:lineRule="exact"/>
        <w:ind w:left="20" w:right="0" w:firstLine="540"/>
      </w:pPr>
      <w:r>
        <w:rPr>
          <w:lang w:val="ru-RU" w:eastAsia="ru-RU" w:bidi="ru-RU"/>
          <w:w w:val="100"/>
          <w:spacing w:val="0"/>
          <w:color w:val="000000"/>
          <w:position w:val="0"/>
        </w:rPr>
        <w:t xml:space="preserve"> «Наружный диаметр» со значением «</w:t>
      </w:r>
      <w:r>
        <w:rPr>
          <w:rStyle w:val="CharStyle25"/>
        </w:rPr>
        <w:t>508 мм</w:t>
      </w:r>
      <w:r>
        <w:rPr>
          <w:lang w:val="ru-RU" w:eastAsia="ru-RU" w:bidi="ru-RU"/>
          <w:w w:val="100"/>
          <w:spacing w:val="0"/>
          <w:color w:val="000000"/>
          <w:position w:val="0"/>
        </w:rPr>
        <w:t>»;</w:t>
      </w:r>
    </w:p>
    <w:p>
      <w:pPr>
        <w:pStyle w:val="Style22"/>
        <w:numPr>
          <w:ilvl w:val="0"/>
          <w:numId w:val="3"/>
        </w:numPr>
        <w:widowControl w:val="0"/>
        <w:keepNext w:val="0"/>
        <w:keepLines w:val="0"/>
        <w:shd w:val="clear" w:color="auto" w:fill="auto"/>
        <w:bidi w:val="0"/>
        <w:spacing w:before="0" w:after="0" w:line="278" w:lineRule="exact"/>
        <w:ind w:left="20" w:right="0" w:firstLine="540"/>
      </w:pPr>
      <w:r>
        <w:rPr>
          <w:lang w:val="ru-RU" w:eastAsia="ru-RU" w:bidi="ru-RU"/>
          <w:w w:val="100"/>
          <w:spacing w:val="0"/>
          <w:color w:val="000000"/>
          <w:position w:val="0"/>
        </w:rPr>
        <w:t xml:space="preserve"> «Толщина стенки» со значением «</w:t>
      </w:r>
      <w:r>
        <w:rPr>
          <w:rStyle w:val="CharStyle25"/>
        </w:rPr>
        <w:t>4,5 мм</w:t>
      </w:r>
      <w:r>
        <w:rPr>
          <w:lang w:val="ru-RU" w:eastAsia="ru-RU" w:bidi="ru-RU"/>
          <w:w w:val="100"/>
          <w:spacing w:val="0"/>
          <w:color w:val="000000"/>
          <w:position w:val="0"/>
        </w:rPr>
        <w:t>»;</w:t>
      </w:r>
    </w:p>
    <w:p>
      <w:pPr>
        <w:pStyle w:val="Style22"/>
        <w:numPr>
          <w:ilvl w:val="0"/>
          <w:numId w:val="3"/>
        </w:numPr>
        <w:widowControl w:val="0"/>
        <w:keepNext w:val="0"/>
        <w:keepLines w:val="0"/>
        <w:shd w:val="clear" w:color="auto" w:fill="auto"/>
        <w:bidi w:val="0"/>
        <w:spacing w:before="0" w:after="0" w:line="278" w:lineRule="exact"/>
        <w:ind w:left="20" w:right="0" w:firstLine="540"/>
      </w:pPr>
      <w:r>
        <w:rPr>
          <w:lang w:val="ru-RU" w:eastAsia="ru-RU" w:bidi="ru-RU"/>
          <w:w w:val="100"/>
          <w:spacing w:val="0"/>
          <w:color w:val="000000"/>
          <w:position w:val="0"/>
        </w:rPr>
        <w:t xml:space="preserve"> «Теоретическая масса 1 м труб» со значением «</w:t>
      </w:r>
      <w:r>
        <w:rPr>
          <w:rStyle w:val="CharStyle25"/>
        </w:rPr>
        <w:t>55,88 кг</w:t>
      </w:r>
      <w:r>
        <w:rPr>
          <w:lang w:val="ru-RU" w:eastAsia="ru-RU" w:bidi="ru-RU"/>
          <w:w w:val="100"/>
          <w:spacing w:val="0"/>
          <w:color w:val="000000"/>
          <w:position w:val="0"/>
        </w:rPr>
        <w:t>» (цитата из заявки).</w:t>
      </w:r>
    </w:p>
    <w:p>
      <w:pPr>
        <w:pStyle w:val="Style22"/>
        <w:widowControl w:val="0"/>
        <w:keepNext w:val="0"/>
        <w:keepLines w:val="0"/>
        <w:shd w:val="clear" w:color="auto" w:fill="auto"/>
        <w:bidi w:val="0"/>
        <w:spacing w:before="0" w:after="0" w:line="278" w:lineRule="exact"/>
        <w:ind w:left="20" w:right="20" w:firstLine="540"/>
      </w:pPr>
      <w:r>
        <w:rPr>
          <w:lang w:val="ru-RU" w:eastAsia="ru-RU" w:bidi="ru-RU"/>
          <w:w w:val="100"/>
          <w:spacing w:val="0"/>
          <w:color w:val="000000"/>
          <w:position w:val="0"/>
        </w:rPr>
        <w:t>Однако, согласно примечанию к таблице 1 ГОСТ 10704-91 «Трубы стальные электросварные прямошовные. Сортамент» при изготовлении труб по</w:t>
      </w:r>
      <w:r>
        <w:fldChar w:fldCharType="begin"/>
      </w:r>
      <w:r>
        <w:rPr>
          <w:color w:val="000000"/>
        </w:rPr>
        <w:instrText> HYPERLINK "http://docs.cntd.ru/document/1200004728" </w:instrText>
      </w:r>
      <w:r>
        <w:fldChar w:fldCharType="separate"/>
      </w:r>
      <w:r>
        <w:rPr>
          <w:rStyle w:val="Hyperlink"/>
          <w:lang w:val="ru-RU" w:eastAsia="ru-RU" w:bidi="ru-RU"/>
          <w:w w:val="100"/>
          <w:spacing w:val="0"/>
          <w:position w:val="0"/>
        </w:rPr>
        <w:t xml:space="preserve"> </w:t>
      </w:r>
      <w:r>
        <w:rPr>
          <w:rStyle w:val="Hyperlink"/>
        </w:rPr>
        <w:t>ГОСТ 10706</w:t>
      </w:r>
      <w:r>
        <w:rPr>
          <w:rStyle w:val="Hyperlink"/>
        </w:rPr>
        <w:t xml:space="preserve"> </w:t>
      </w:r>
      <w:r>
        <w:fldChar w:fldCharType="end"/>
      </w:r>
      <w:r>
        <w:rPr>
          <w:lang w:val="ru-RU" w:eastAsia="ru-RU" w:bidi="ru-RU"/>
          <w:w w:val="100"/>
          <w:spacing w:val="0"/>
          <w:color w:val="000000"/>
          <w:position w:val="0"/>
        </w:rPr>
        <w:t xml:space="preserve">теоретическая масса увеличивается на 1% за счет усиления шва. При этом, ГОСТ 10706-76 «Трубы стальные электросварные прямошовные. Технические требования» распространяется на прямошовные электросварные трубы общего назначения диаметром </w:t>
      </w:r>
      <w:r>
        <w:rPr>
          <w:rStyle w:val="CharStyle24"/>
        </w:rPr>
        <w:t>478-1420</w:t>
      </w:r>
      <w:r>
        <w:rPr>
          <w:lang w:val="ru-RU" w:eastAsia="ru-RU" w:bidi="ru-RU"/>
          <w:w w:val="100"/>
          <w:spacing w:val="0"/>
          <w:color w:val="000000"/>
          <w:position w:val="0"/>
        </w:rPr>
        <w:t xml:space="preserve"> мм. Таким образом, теоретическая масса 1 м предлагаемой участником трубы, в соответствии с таблицей 1 ГОСТ 10704-91 с учетом требований ГОСТ 10706-76, составляет 55,88 кг + 1% = </w:t>
      </w:r>
      <w:r>
        <w:rPr>
          <w:rStyle w:val="CharStyle25"/>
        </w:rPr>
        <w:t>56,44 кг</w:t>
      </w:r>
      <w:r>
        <w:rPr>
          <w:lang w:val="ru-RU" w:eastAsia="ru-RU" w:bidi="ru-RU"/>
          <w:w w:val="100"/>
          <w:spacing w:val="0"/>
          <w:color w:val="000000"/>
          <w:position w:val="0"/>
        </w:rPr>
        <w:t>.</w:t>
      </w:r>
    </w:p>
    <w:p>
      <w:pPr>
        <w:pStyle w:val="Style22"/>
        <w:widowControl w:val="0"/>
        <w:keepNext w:val="0"/>
        <w:keepLines w:val="0"/>
        <w:shd w:val="clear" w:color="auto" w:fill="auto"/>
        <w:bidi w:val="0"/>
        <w:jc w:val="right"/>
        <w:spacing w:before="0" w:after="0" w:line="278" w:lineRule="exact"/>
        <w:ind w:left="0" w:right="140" w:firstLine="0"/>
      </w:pPr>
      <w:r>
        <w:rPr>
          <w:lang w:val="ru-RU" w:eastAsia="ru-RU" w:bidi="ru-RU"/>
          <w:w w:val="100"/>
          <w:spacing w:val="0"/>
          <w:color w:val="000000"/>
          <w:position w:val="0"/>
        </w:rPr>
        <w:t>Таким образом, участником предложен товар, используемый при выполнении работ не</w:t>
      </w:r>
    </w:p>
    <w:p>
      <w:pPr>
        <w:pStyle w:val="Style22"/>
        <w:widowControl w:val="0"/>
        <w:keepNext w:val="0"/>
        <w:keepLines w:val="0"/>
        <w:shd w:val="clear" w:color="auto" w:fill="auto"/>
        <w:bidi w:val="0"/>
        <w:jc w:val="right"/>
        <w:spacing w:before="0" w:after="0" w:line="322" w:lineRule="exact"/>
        <w:ind w:left="0" w:right="140" w:firstLine="0"/>
      </w:pPr>
      <w:r>
        <w:rPr>
          <w:lang w:val="ru-RU" w:eastAsia="ru-RU" w:bidi="ru-RU"/>
          <w:w w:val="100"/>
          <w:spacing w:val="0"/>
          <w:color w:val="000000"/>
          <w:position w:val="0"/>
        </w:rPr>
        <w:t>соответствующий требованиям документации об электронном аукционе</w:t>
      </w:r>
      <w:r>
        <w:rPr>
          <w:rStyle w:val="CharStyle31"/>
        </w:rPr>
        <w:t xml:space="preserve"> » (цитата</w:t>
      </w:r>
    </w:p>
    <w:p>
      <w:pPr>
        <w:pStyle w:val="Style5"/>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письменных пояснений).</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заседании Комиссия, изучив документацию об Аукционе, заявку с порядковым номером «9» (Заявитель), предоставленную представителем Уполномоченного органа, требования соответствующего ГОСТа, с учетом пояснений представителей Сторон, приходит к выводу об обоснованности действий Единой комиссии Уполномоченного органа по признанию заявки Заявителя не соответствующей документации об Аукционе.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Учитывая изложенное, Комиссия приходит к выводу, что действия Единой комиссии Уполномоченного органа по рассмотрению заявки Заявителя не нарушают требования статей 66, 67 Закона о контрактной системе.</w:t>
      </w:r>
    </w:p>
    <w:p>
      <w:pPr>
        <w:pStyle w:val="Style5"/>
        <w:widowControl w:val="0"/>
        <w:keepNext w:val="0"/>
        <w:keepLines w:val="0"/>
        <w:shd w:val="clear" w:color="auto" w:fill="auto"/>
        <w:bidi w:val="0"/>
        <w:jc w:val="both"/>
        <w:spacing w:before="0" w:after="60"/>
        <w:ind w:left="20" w:right="0" w:firstLine="860"/>
      </w:pPr>
      <w:r>
        <w:rPr>
          <w:lang w:val="ru-RU" w:eastAsia="ru-RU" w:bidi="ru-RU"/>
          <w:w w:val="100"/>
          <w:spacing w:val="0"/>
          <w:color w:val="000000"/>
          <w:position w:val="0"/>
        </w:rPr>
        <w:t>Таким образом, довод Заявителя не нашел своего подтверждения.</w:t>
      </w:r>
    </w:p>
    <w:p>
      <w:pPr>
        <w:pStyle w:val="Style5"/>
        <w:widowControl w:val="0"/>
        <w:keepNext w:val="0"/>
        <w:keepLines w:val="0"/>
        <w:shd w:val="clear" w:color="auto" w:fill="auto"/>
        <w:bidi w:val="0"/>
        <w:jc w:val="both"/>
        <w:spacing w:before="0" w:after="109"/>
        <w:ind w:left="20" w:right="2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 Комиссия</w:t>
      </w:r>
    </w:p>
    <w:p>
      <w:pPr>
        <w:pStyle w:val="Style5"/>
        <w:widowControl w:val="0"/>
        <w:keepNext w:val="0"/>
        <w:keepLines w:val="0"/>
        <w:shd w:val="clear" w:color="auto" w:fill="auto"/>
        <w:bidi w:val="0"/>
        <w:jc w:val="left"/>
        <w:spacing w:before="0" w:after="177" w:line="260" w:lineRule="exact"/>
        <w:ind w:left="4900" w:right="0" w:firstLine="0"/>
      </w:pPr>
      <w:r>
        <w:rPr>
          <w:lang w:val="ru-RU" w:eastAsia="ru-RU" w:bidi="ru-RU"/>
          <w:w w:val="100"/>
          <w:spacing w:val="0"/>
          <w:color w:val="000000"/>
          <w:position w:val="0"/>
        </w:rPr>
        <w:t>РЕШИЛА:</w:t>
      </w:r>
    </w:p>
    <w:p>
      <w:pPr>
        <w:pStyle w:val="Style5"/>
        <w:numPr>
          <w:ilvl w:val="0"/>
          <w:numId w:val="9"/>
        </w:numPr>
        <w:widowControl w:val="0"/>
        <w:keepNext w:val="0"/>
        <w:keepLines w:val="0"/>
        <w:shd w:val="clear" w:color="auto" w:fill="auto"/>
        <w:bidi w:val="0"/>
        <w:jc w:val="both"/>
        <w:spacing w:before="0" w:after="128" w:line="260" w:lineRule="exact"/>
        <w:ind w:left="20" w:right="0" w:firstLine="860"/>
      </w:pPr>
      <w:r>
        <w:rPr>
          <w:lang w:val="ru-RU" w:eastAsia="ru-RU" w:bidi="ru-RU"/>
          <w:w w:val="100"/>
          <w:spacing w:val="0"/>
          <w:color w:val="000000"/>
          <w:position w:val="0"/>
        </w:rPr>
        <w:t xml:space="preserve"> Признать жалобу Заявителя необоснованной.</w:t>
      </w:r>
    </w:p>
    <w:p>
      <w:pPr>
        <w:pStyle w:val="Style5"/>
        <w:numPr>
          <w:ilvl w:val="0"/>
          <w:numId w:val="9"/>
        </w:numPr>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02.11.2017 №06/12554.</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5"/>
        <w:tabs>
          <w:tab w:leader="none" w:pos="7760" w:val="lef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 С. Муравьёв</w:t>
      </w:r>
    </w:p>
    <w:p>
      <w:pPr>
        <w:pStyle w:val="Style5"/>
        <w:tabs>
          <w:tab w:leader="none" w:pos="7760" w:val="lef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 П. Казакова</w:t>
      </w:r>
    </w:p>
    <w:p>
      <w:pPr>
        <w:pStyle w:val="Style5"/>
        <w:framePr w:h="240" w:wrap="around" w:vAnchor="text" w:hAnchor="margin" w:x="159" w:y="1"/>
        <w:widowControl w:val="0"/>
        <w:keepNext w:val="0"/>
        <w:keepLines w:val="0"/>
        <w:shd w:val="clear" w:color="auto" w:fill="auto"/>
        <w:bidi w:val="0"/>
        <w:jc w:val="left"/>
        <w:spacing w:before="0" w:after="0" w:line="240" w:lineRule="exact"/>
        <w:ind w:left="0" w:right="0" w:firstLine="0"/>
      </w:pPr>
      <w:r>
        <w:rPr>
          <w:rStyle w:val="CharStyle6"/>
          <w:spacing w:val="0"/>
        </w:rPr>
        <w:t>Член Комиссии:</w:t>
      </w:r>
    </w:p>
    <w:p>
      <w:pPr>
        <w:pStyle w:val="Style5"/>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footnotePr>
        <w:pos w:val="pageBottom"/>
        <w:numFmt w:val="decimal"/>
        <w:numRestart w:val="continuous"/>
      </w:footnotePr>
      <w:type w:val="continuous"/>
      <w:pgSz w:w="11906" w:h="16838"/>
      <w:pgMar w:top="1415" w:left="736" w:right="654" w:bottom="90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16.06.%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link w:val="Style3"/>
    <w:rPr>
      <w:b w:val="0"/>
      <w:bCs w:val="0"/>
      <w:i w:val="0"/>
      <w:iCs w:val="0"/>
      <w:u w:val="none"/>
      <w:strike w:val="0"/>
      <w:smallCaps w:val="0"/>
      <w:sz w:val="14"/>
      <w:szCs w:val="14"/>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8">
    <w:name w:val="Основной текст (2)_"/>
    <w:basedOn w:val="DefaultParagraphFont"/>
    <w:link w:val="Style7"/>
    <w:rPr>
      <w:b/>
      <w:bCs/>
      <w:i w:val="0"/>
      <w:iCs w:val="0"/>
      <w:u w:val="none"/>
      <w:strike w:val="0"/>
      <w:smallCaps w:val="0"/>
      <w:sz w:val="22"/>
      <w:szCs w:val="22"/>
      <w:rFonts w:ascii="Times New Roman" w:eastAsia="Times New Roman" w:hAnsi="Times New Roman" w:cs="Times New Roman"/>
    </w:rPr>
  </w:style>
  <w:style w:type="character" w:customStyle="1" w:styleId="CharStyle9">
    <w:name w:val="Основной текст (2) + 13 pt,Не полужирный"/>
    <w:basedOn w:val="CharStyle8"/>
    <w:rPr>
      <w:lang w:val="ru-RU" w:eastAsia="ru-RU" w:bidi="ru-RU"/>
      <w:b/>
      <w:bCs/>
      <w:sz w:val="26"/>
      <w:szCs w:val="26"/>
      <w:w w:val="100"/>
      <w:spacing w:val="0"/>
      <w:color w:val="000000"/>
      <w:position w:val="0"/>
    </w:rPr>
  </w:style>
  <w:style w:type="character" w:customStyle="1" w:styleId="CharStyle10">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3)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w:basedOn w:val="CharStyle10"/>
    <w:rPr>
      <w:lang w:val="ru-RU" w:eastAsia="ru-RU" w:bidi="ru-RU"/>
      <w:u w:val="single"/>
      <w:w w:val="100"/>
      <w:spacing w:val="0"/>
      <w:color w:val="000000"/>
      <w:position w:val="0"/>
    </w:rPr>
  </w:style>
  <w:style w:type="character" w:customStyle="1" w:styleId="CharStyle15">
    <w:name w:val="Подпись к таблице_"/>
    <w:basedOn w:val="DefaultParagraphFont"/>
    <w:link w:val="Style14"/>
    <w:rPr>
      <w:b w:val="0"/>
      <w:bCs w:val="0"/>
      <w:i w:val="0"/>
      <w:iCs w:val="0"/>
      <w:u w:val="none"/>
      <w:strike w:val="0"/>
      <w:smallCaps w:val="0"/>
      <w:sz w:val="26"/>
      <w:szCs w:val="26"/>
      <w:rFonts w:ascii="Times New Roman" w:eastAsia="Times New Roman" w:hAnsi="Times New Roman" w:cs="Times New Roman"/>
    </w:rPr>
  </w:style>
  <w:style w:type="character" w:customStyle="1" w:styleId="CharStyle16">
    <w:name w:val="Подпись к таблице"/>
    <w:basedOn w:val="CharStyle15"/>
    <w:rPr>
      <w:lang w:val="ru-RU" w:eastAsia="ru-RU" w:bidi="ru-RU"/>
      <w:u w:val="single"/>
      <w:w w:val="100"/>
      <w:spacing w:val="0"/>
      <w:color w:val="000000"/>
      <w:position w:val="0"/>
    </w:rPr>
  </w:style>
  <w:style w:type="character" w:customStyle="1" w:styleId="CharStyle17">
    <w:name w:val="Подпись к таблице"/>
    <w:basedOn w:val="CharStyle15"/>
    <w:rPr>
      <w:lang w:val="ru-RU" w:eastAsia="ru-RU" w:bidi="ru-RU"/>
      <w:u w:val="single"/>
      <w:w w:val="100"/>
      <w:spacing w:val="0"/>
      <w:color w:val="000000"/>
      <w:position w:val="0"/>
    </w:rPr>
  </w:style>
  <w:style w:type="character" w:customStyle="1" w:styleId="CharStyle18">
    <w:name w:val="Подпись к таблице"/>
    <w:basedOn w:val="CharStyle15"/>
    <w:rPr>
      <w:lang w:val="1024"/>
      <w:w w:val="100"/>
      <w:spacing w:val="0"/>
      <w:color w:val="000000"/>
      <w:position w:val="0"/>
    </w:rPr>
  </w:style>
  <w:style w:type="character" w:customStyle="1" w:styleId="CharStyle19">
    <w:name w:val="Основной текст + 11 pt,Полужирный"/>
    <w:basedOn w:val="CharStyle10"/>
    <w:rPr>
      <w:lang w:val="ru-RU" w:eastAsia="ru-RU" w:bidi="ru-RU"/>
      <w:b/>
      <w:bCs/>
      <w:sz w:val="22"/>
      <w:szCs w:val="22"/>
      <w:w w:val="100"/>
      <w:spacing w:val="0"/>
      <w:color w:val="000000"/>
      <w:position w:val="0"/>
    </w:rPr>
  </w:style>
  <w:style w:type="character" w:customStyle="1" w:styleId="CharStyle20">
    <w:name w:val="Основной текст + 11 pt"/>
    <w:basedOn w:val="CharStyle10"/>
    <w:rPr>
      <w:lang w:val="ru-RU" w:eastAsia="ru-RU" w:bidi="ru-RU"/>
      <w:sz w:val="22"/>
      <w:szCs w:val="22"/>
      <w:w w:val="100"/>
      <w:spacing w:val="0"/>
      <w:color w:val="000000"/>
      <w:position w:val="0"/>
    </w:rPr>
  </w:style>
  <w:style w:type="character" w:customStyle="1" w:styleId="CharStyle21">
    <w:name w:val="Основной текст (2)"/>
    <w:basedOn w:val="CharStyle8"/>
    <w:rPr>
      <w:lang w:val="ru-RU" w:eastAsia="ru-RU" w:bidi="ru-RU"/>
      <w:u w:val="single"/>
      <w:w w:val="100"/>
      <w:spacing w:val="0"/>
      <w:color w:val="000000"/>
      <w:position w:val="0"/>
    </w:rPr>
  </w:style>
  <w:style w:type="character" w:customStyle="1" w:styleId="CharStyle23">
    <w:name w:val="Основной текст (5)_"/>
    <w:basedOn w:val="DefaultParagraphFont"/>
    <w:link w:val="Style22"/>
    <w:rPr>
      <w:b w:val="0"/>
      <w:bCs w:val="0"/>
      <w:i w:val="0"/>
      <w:iCs w:val="0"/>
      <w:u w:val="none"/>
      <w:strike w:val="0"/>
      <w:smallCaps w:val="0"/>
      <w:sz w:val="22"/>
      <w:szCs w:val="22"/>
      <w:rFonts w:ascii="Times New Roman" w:eastAsia="Times New Roman" w:hAnsi="Times New Roman" w:cs="Times New Roman"/>
    </w:rPr>
  </w:style>
  <w:style w:type="character" w:customStyle="1" w:styleId="CharStyle24">
    <w:name w:val="Основной текст (5)"/>
    <w:basedOn w:val="CharStyle23"/>
    <w:rPr>
      <w:lang w:val="ru-RU" w:eastAsia="ru-RU" w:bidi="ru-RU"/>
      <w:u w:val="single"/>
      <w:w w:val="100"/>
      <w:spacing w:val="0"/>
      <w:color w:val="000000"/>
      <w:position w:val="0"/>
    </w:rPr>
  </w:style>
  <w:style w:type="character" w:customStyle="1" w:styleId="CharStyle25">
    <w:name w:val="Основной текст (5) + Полужирный"/>
    <w:basedOn w:val="CharStyle23"/>
    <w:rPr>
      <w:lang w:val="ru-RU" w:eastAsia="ru-RU" w:bidi="ru-RU"/>
      <w:b/>
      <w:bCs/>
      <w:w w:val="100"/>
      <w:spacing w:val="0"/>
      <w:color w:val="000000"/>
      <w:position w:val="0"/>
    </w:rPr>
  </w:style>
  <w:style w:type="character" w:customStyle="1" w:styleId="CharStyle26">
    <w:name w:val="Основной текст (5) + 13 pt"/>
    <w:basedOn w:val="CharStyle23"/>
    <w:rPr>
      <w:lang w:val="ru-RU" w:eastAsia="ru-RU" w:bidi="ru-RU"/>
      <w:u w:val="single"/>
      <w:sz w:val="26"/>
      <w:szCs w:val="26"/>
      <w:w w:val="100"/>
      <w:spacing w:val="0"/>
      <w:color w:val="000000"/>
      <w:position w:val="0"/>
    </w:rPr>
  </w:style>
  <w:style w:type="character" w:customStyle="1" w:styleId="CharStyle27">
    <w:name w:val="Основной текст (5) + 13 pt"/>
    <w:basedOn w:val="CharStyle23"/>
    <w:rPr>
      <w:lang w:val="ru-RU" w:eastAsia="ru-RU" w:bidi="ru-RU"/>
      <w:sz w:val="26"/>
      <w:szCs w:val="26"/>
      <w:w w:val="100"/>
      <w:spacing w:val="0"/>
      <w:color w:val="000000"/>
      <w:position w:val="0"/>
    </w:rPr>
  </w:style>
  <w:style w:type="character" w:customStyle="1" w:styleId="CharStyle28">
    <w:name w:val="Основной текст"/>
    <w:basedOn w:val="CharStyle10"/>
    <w:rPr>
      <w:lang w:val="ru-RU" w:eastAsia="ru-RU" w:bidi="ru-RU"/>
      <w:w w:val="100"/>
      <w:spacing w:val="0"/>
      <w:color w:val="000000"/>
      <w:position w:val="0"/>
    </w:rPr>
  </w:style>
  <w:style w:type="character" w:customStyle="1" w:styleId="CharStyle29">
    <w:name w:val="Основной текст"/>
    <w:basedOn w:val="CharStyle10"/>
    <w:rPr>
      <w:lang w:val="ru-RU" w:eastAsia="ru-RU" w:bidi="ru-RU"/>
      <w:u w:val="single"/>
      <w:w w:val="100"/>
      <w:spacing w:val="0"/>
      <w:color w:val="000000"/>
      <w:position w:val="0"/>
    </w:rPr>
  </w:style>
  <w:style w:type="character" w:customStyle="1" w:styleId="CharStyle30">
    <w:name w:val="Основной текст + 7,5 pt"/>
    <w:basedOn w:val="CharStyle10"/>
    <w:rPr>
      <w:lang w:val="ru-RU" w:eastAsia="ru-RU" w:bidi="ru-RU"/>
      <w:sz w:val="15"/>
      <w:szCs w:val="15"/>
      <w:w w:val="100"/>
      <w:spacing w:val="0"/>
      <w:color w:val="000000"/>
      <w:position w:val="0"/>
    </w:rPr>
  </w:style>
  <w:style w:type="character" w:customStyle="1" w:styleId="CharStyle31">
    <w:name w:val="Основной текст (5) + 13 pt"/>
    <w:basedOn w:val="CharStyle23"/>
    <w:rPr>
      <w:lang w:val="ru-RU" w:eastAsia="ru-RU" w:bidi="ru-RU"/>
      <w:sz w:val="26"/>
      <w:szCs w:val="26"/>
      <w:w w:val="100"/>
      <w:spacing w:val="0"/>
      <w:color w:val="000000"/>
      <w:position w:val="0"/>
    </w:rPr>
  </w:style>
  <w:style w:type="paragraph" w:customStyle="1" w:styleId="Style3">
    <w:name w:val="Основной текст (4)"/>
    <w:basedOn w:val="Normal"/>
    <w:link w:val="CharStyle4"/>
    <w:pPr>
      <w:widowControl w:val="0"/>
      <w:shd w:val="clear" w:color="auto" w:fill="FFFFFF"/>
      <w:jc w:val="center"/>
      <w:spacing w:after="300"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5">
    <w:name w:val="Основной текст"/>
    <w:basedOn w:val="Normal"/>
    <w:link w:val="CharStyle10"/>
    <w:pPr>
      <w:widowControl w:val="0"/>
      <w:shd w:val="clear" w:color="auto" w:fill="FFFFFF"/>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center"/>
      <w:spacing w:before="300" w:after="180"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jc w:val="center"/>
      <w:spacing w:before="300" w:after="180" w:line="341"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Подпись к таблице"/>
    <w:basedOn w:val="Normal"/>
    <w:link w:val="CharStyle15"/>
    <w:pPr>
      <w:widowControl w:val="0"/>
      <w:shd w:val="clear" w:color="auto" w:fill="FFFFFF"/>
      <w:jc w:val="both"/>
      <w:spacing w:line="317" w:lineRule="exact"/>
      <w:ind w:firstLine="860"/>
    </w:pPr>
    <w:rPr>
      <w:b w:val="0"/>
      <w:bCs w:val="0"/>
      <w:i w:val="0"/>
      <w:iCs w:val="0"/>
      <w:u w:val="none"/>
      <w:strike w:val="0"/>
      <w:smallCaps w:val="0"/>
      <w:sz w:val="26"/>
      <w:szCs w:val="26"/>
      <w:rFonts w:ascii="Times New Roman" w:eastAsia="Times New Roman" w:hAnsi="Times New Roman" w:cs="Times New Roman"/>
    </w:rPr>
  </w:style>
  <w:style w:type="paragraph" w:customStyle="1" w:styleId="Style22">
    <w:name w:val="Основной текст (5)"/>
    <w:basedOn w:val="Normal"/>
    <w:link w:val="CharStyle23"/>
    <w:pPr>
      <w:widowControl w:val="0"/>
      <w:shd w:val="clear" w:color="auto" w:fill="FFFFFF"/>
      <w:jc w:val="both"/>
      <w:spacing w:line="274" w:lineRule="exact"/>
    </w:pPr>
    <w:rPr>
      <w:b w:val="0"/>
      <w:bCs w:val="0"/>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