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30" w:y="1122"/>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30" w:y="112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30" w:y="112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spacing w:before="955"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spacing w:before="0" w:after="0"/>
        <w:ind w:left="20" w:right="340" w:firstLine="0"/>
      </w:pPr>
      <w:r>
        <w:rPr>
          <w:lang w:val="ru-RU" w:eastAsia="ru-RU" w:bidi="ru-RU"/>
          <w:w w:val="100"/>
          <w:spacing w:val="0"/>
          <w:color w:val="000000"/>
          <w:position w:val="0"/>
        </w:rPr>
        <w:t>Государственное унитарное предприятие Республики Крым «Солнечная Таврика» 295053, Республика Крым,</w:t>
      </w:r>
    </w:p>
    <w:p>
      <w:pPr>
        <w:pStyle w:val="Style7"/>
        <w:framePr w:h="245" w:wrap="around" w:vAnchor="text" w:hAnchor="margin" w:x="-45" w:y="294"/>
        <w:widowControl w:val="0"/>
        <w:keepNext w:val="0"/>
        <w:keepLines w:val="0"/>
        <w:shd w:val="clear" w:color="auto" w:fill="auto"/>
        <w:bidi w:val="0"/>
        <w:jc w:val="left"/>
        <w:spacing w:before="0" w:after="0" w:line="240" w:lineRule="exact"/>
        <w:ind w:left="0" w:right="0" w:firstLine="0"/>
      </w:pPr>
      <w:r>
        <w:rPr>
          <w:rStyle w:val="CharStyle8"/>
          <w:spacing w:val="0"/>
        </w:rPr>
        <w:t>10.11.2017 №06/12897</w:t>
      </w:r>
    </w:p>
    <w:p>
      <w:pPr>
        <w:pStyle w:val="Style7"/>
        <w:widowControl w:val="0"/>
        <w:keepNext w:val="0"/>
        <w:keepLines w:val="0"/>
        <w:shd w:val="clear" w:color="auto" w:fill="auto"/>
        <w:bidi w:val="0"/>
        <w:jc w:val="left"/>
        <w:spacing w:before="0" w:after="109"/>
        <w:ind w:left="4980" w:right="0" w:firstLine="0"/>
      </w:pPr>
      <w:r>
        <w:rPr>
          <w:lang w:val="ru-RU" w:eastAsia="ru-RU" w:bidi="ru-RU"/>
          <w:w w:val="100"/>
          <w:spacing w:val="0"/>
          <w:color w:val="000000"/>
          <w:position w:val="0"/>
        </w:rPr>
        <w:t>г. Симферополь, ул. Мате Залки, д. 17Б</w:t>
      </w:r>
    </w:p>
    <w:p>
      <w:pPr>
        <w:pStyle w:val="Style7"/>
        <w:framePr w:h="240" w:wrap="around" w:vAnchor="text" w:hAnchor="margin" w:x="-78" w:y="212"/>
        <w:widowControl w:val="0"/>
        <w:keepNext w:val="0"/>
        <w:keepLines w:val="0"/>
        <w:shd w:val="clear" w:color="auto" w:fill="auto"/>
        <w:bidi w:val="0"/>
        <w:jc w:val="left"/>
        <w:spacing w:before="0" w:after="0" w:line="240" w:lineRule="exact"/>
        <w:ind w:left="0" w:right="0" w:firstLine="0"/>
      </w:pPr>
      <w:r>
        <w:rPr>
          <w:rStyle w:val="CharStyle8"/>
          <w:spacing w:val="0"/>
        </w:rPr>
        <w:t>На № 160 от 01.11.2017</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260" w:lineRule="exact"/>
        <w:ind w:left="2160" w:right="0" w:firstLine="0"/>
      </w:pPr>
      <w:r>
        <w:rPr>
          <w:lang w:val="ru-RU" w:eastAsia="ru-RU" w:bidi="ru-RU"/>
          <w:w w:val="100"/>
          <w:spacing w:val="0"/>
          <w:color w:val="000000"/>
          <w:position w:val="0"/>
        </w:rPr>
        <w:t>ООО «Электрон»</w:t>
      </w:r>
    </w:p>
    <w:p>
      <w:pPr>
        <w:pStyle w:val="Style7"/>
        <w:widowControl w:val="0"/>
        <w:keepNext w:val="0"/>
        <w:keepLines w:val="0"/>
        <w:shd w:val="clear" w:color="auto" w:fill="auto"/>
        <w:bidi w:val="0"/>
        <w:jc w:val="left"/>
        <w:spacing w:before="0" w:after="304" w:line="326" w:lineRule="exact"/>
        <w:ind w:left="4980" w:right="340" w:firstLine="0"/>
      </w:pPr>
      <w:r>
        <w:rPr>
          <w:lang w:val="ru-RU" w:eastAsia="ru-RU" w:bidi="ru-RU"/>
          <w:w w:val="100"/>
          <w:spacing w:val="0"/>
          <w:color w:val="000000"/>
          <w:position w:val="0"/>
        </w:rPr>
        <w:t>Республика Крым, г. Евпатория, пр. Победы, д. 76</w:t>
      </w:r>
    </w:p>
    <w:p>
      <w:pPr>
        <w:pStyle w:val="Style7"/>
        <w:numPr>
          <w:ilvl w:val="0"/>
          <w:numId w:val="1"/>
        </w:numPr>
        <w:widowControl w:val="0"/>
        <w:keepNext w:val="0"/>
        <w:keepLines w:val="0"/>
        <w:shd w:val="clear" w:color="auto" w:fill="auto"/>
        <w:bidi w:val="0"/>
        <w:jc w:val="left"/>
        <w:spacing w:before="0" w:after="0"/>
        <w:ind w:left="4980" w:right="34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167" w:line="260" w:lineRule="exact"/>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245"/>
        <w:ind w:left="0" w:right="0" w:firstLine="0"/>
      </w:pPr>
      <w:r>
        <w:rPr>
          <w:lang w:val="ru-RU" w:eastAsia="ru-RU" w:bidi="ru-RU"/>
          <w:w w:val="100"/>
          <w:spacing w:val="0"/>
          <w:color w:val="000000"/>
          <w:position w:val="0"/>
        </w:rPr>
        <w:t>Решение по делу №06/4190-17 о нарушении законодательства Российской Федерации о контрактной системе в сфере закупок</w:t>
      </w:r>
    </w:p>
    <w:p>
      <w:pPr>
        <w:pStyle w:val="Style7"/>
        <w:tabs>
          <w:tab w:leader="none" w:pos="7989" w:val="left"/>
        </w:tabs>
        <w:widowControl w:val="0"/>
        <w:keepNext w:val="0"/>
        <w:keepLines w:val="0"/>
        <w:shd w:val="clear" w:color="auto" w:fill="auto"/>
        <w:bidi w:val="0"/>
        <w:spacing w:before="0" w:after="188" w:line="260" w:lineRule="exact"/>
        <w:ind w:left="280" w:right="0" w:firstLine="0"/>
      </w:pPr>
      <w:r>
        <w:rPr>
          <w:lang w:val="ru-RU" w:eastAsia="ru-RU" w:bidi="ru-RU"/>
          <w:w w:val="100"/>
          <w:spacing w:val="0"/>
          <w:color w:val="000000"/>
          <w:position w:val="0"/>
        </w:rPr>
        <w:t>08.11.2017</w:t>
        <w:tab/>
        <w:t>г. Симферополь</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специалиста-эксперта отдела контроля рекламы и органов власти Крымского УФАС России Н. А. Баданина,</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при участии представителя Заказчика Д. С. Кустова (по доверенности), — рассмотрев жалобу Заявителя от 01.11.2017 №160 (вх. №4776/09 от 02.11.2017) на действия Заказчика при проведении электронного аукциона «Работы по монтажу систем пожарной сигнализации и охранной сигнализации (санаторий "Мечта")» (номер извещения 0575500003117000012) (далее — Аукцион), в</w:t>
      </w:r>
      <w:r>
        <w:br w:type="page"/>
      </w:r>
    </w:p>
    <w:p>
      <w:pPr>
        <w:pStyle w:val="Style7"/>
        <w:widowControl w:val="0"/>
        <w:keepNext w:val="0"/>
        <w:keepLines w:val="0"/>
        <w:shd w:val="clear" w:color="auto" w:fill="auto"/>
        <w:bidi w:val="0"/>
        <w:spacing w:before="0" w:after="229"/>
        <w:ind w:left="0" w:right="20" w:firstLine="0"/>
      </w:pPr>
      <w:r>
        <w:rPr>
          <w:lang w:val="ru-RU" w:eastAsia="ru-RU" w:bidi="ru-RU"/>
          <w:w w:val="100"/>
          <w:spacing w:val="0"/>
          <w:color w:val="000000"/>
          <w:position w:val="0"/>
        </w:rPr>
        <w:t>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 По мнению Заявителя, его права и законные интересы как участника Аукциона (заявка под порядковым номером 16) нарушены действиями Заказчика, выразившимися в установлении в документации об Аукционе ненадлежащего срока начала выполнения работ: «</w:t>
      </w:r>
      <w:r>
        <w:rPr>
          <w:rStyle w:val="CharStyle13"/>
        </w:rPr>
        <w:t xml:space="preserve">Срок начала выполнения работ: </w:t>
      </w:r>
      <w:r>
        <w:rPr>
          <w:lang w:val="ru-RU" w:eastAsia="ru-RU" w:bidi="ru-RU"/>
          <w:w w:val="100"/>
          <w:spacing w:val="0"/>
          <w:color w:val="000000"/>
          <w:position w:val="0"/>
        </w:rPr>
        <w:t>Заказчик предварительно не менее чем за 10 дней до начала выполнения работ уведомляет Подрядчика о том, что можно приступать к выполнению работ (услуг) и назначает дату, но не позднее чем до 10.11.2017г.», что после исполнения Заказчиком предписания Крымского УФАС России по делу №06/2868-17, приводит к существенному уменьшению срока выполнения работ, т.к. фактический срок выполнения работ с момента заключения контракта в соответствии с Законом о контрактной системе (примерно не ранее 20.11.2017) составит менее 45 календарных дней, на которые заявлялся и рассчитывал изначально Заявитель. Крымское УФАС России по итогам рассмотрения жалобы одного из участников Аукциона выдало предписание только о повторном рассмотрении первых частей заявок участников Аукциона без внесения изменений в документацию об Аукционе.</w:t>
      </w:r>
    </w:p>
    <w:p>
      <w:pPr>
        <w:pStyle w:val="Style7"/>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02.11.2017 №06/12553, направленное Заявителю, Заказчику, Оператору электронной площадки и размещенные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 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Единой информационной системе в сфере закупок (далее - официальный сайт, ЕИС) - 11.07.2017;</w:t>
      </w:r>
    </w:p>
    <w:p>
      <w:pPr>
        <w:pStyle w:val="Style7"/>
        <w:numPr>
          <w:ilvl w:val="0"/>
          <w:numId w:val="3"/>
        </w:numPr>
        <w:widowControl w:val="0"/>
        <w:keepNext w:val="0"/>
        <w:keepLines w:val="0"/>
        <w:shd w:val="clear" w:color="auto" w:fill="auto"/>
        <w:bidi w:val="0"/>
        <w:spacing w:before="0" w:after="0"/>
        <w:ind w:left="0" w:right="0" w:firstLine="860"/>
      </w:pPr>
      <w:r>
        <w:rPr>
          <w:lang w:val="ru-RU" w:eastAsia="ru-RU" w:bidi="ru-RU"/>
          <w:w w:val="100"/>
          <w:spacing w:val="0"/>
          <w:color w:val="000000"/>
          <w:position w:val="0"/>
        </w:rPr>
        <w:t xml:space="preserve"> способ определения поставщика (подрядчика, исполнителя) - аукцион;</w:t>
      </w:r>
    </w:p>
    <w:p>
      <w:pPr>
        <w:pStyle w:val="Style7"/>
        <w:numPr>
          <w:ilvl w:val="0"/>
          <w:numId w:val="3"/>
        </w:numPr>
        <w:widowControl w:val="0"/>
        <w:keepNext w:val="0"/>
        <w:keepLines w:val="0"/>
        <w:shd w:val="clear" w:color="auto" w:fill="auto"/>
        <w:bidi w:val="0"/>
        <w:spacing w:before="0" w:after="0"/>
        <w:ind w:left="0" w:right="0" w:firstLine="860"/>
      </w:pPr>
      <w:r>
        <w:rPr>
          <w:lang w:val="ru-RU" w:eastAsia="ru-RU" w:bidi="ru-RU"/>
          <w:w w:val="100"/>
          <w:spacing w:val="0"/>
          <w:color w:val="000000"/>
          <w:position w:val="0"/>
        </w:rPr>
        <w:t xml:space="preserve"> начальная (максимальная) цена контракта - 18 889 030,94 рублей;</w:t>
      </w:r>
    </w:p>
    <w:p>
      <w:pPr>
        <w:pStyle w:val="Style7"/>
        <w:numPr>
          <w:ilvl w:val="0"/>
          <w:numId w:val="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дата и время окончания подачи заявок: 31.07.2017 10:00, дата окончания срока рассмотрения первых частей заявок участников: 31.07.2017, дата проведения Аукциона: 03.08.2017;</w:t>
      </w:r>
    </w:p>
    <w:p>
      <w:pPr>
        <w:pStyle w:val="Style7"/>
        <w:numPr>
          <w:ilvl w:val="0"/>
          <w:numId w:val="3"/>
        </w:numPr>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на участие в Аукционе подано 14 заявок, из них 6 заявок отклонены;</w:t>
      </w:r>
    </w:p>
    <w:p>
      <w:pPr>
        <w:pStyle w:val="Style7"/>
        <w:numPr>
          <w:ilvl w:val="0"/>
          <w:numId w:val="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в ходе проведения Аукциона предложение о цене контракта подавали 2 участника, снижение цены составило 14,0%;</w:t>
      </w:r>
    </w:p>
    <w:p>
      <w:pPr>
        <w:pStyle w:val="Style7"/>
        <w:numPr>
          <w:ilvl w:val="0"/>
          <w:numId w:val="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по итогам Аукциона обе заявки признаны не соответствующими документации об Аукционе.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Согласно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Пунктом 2 статьи 42 Закона о контрактной системе определено, что в извещении об осуществлении закупки должно содержаться краткое изложение условий контракта, содержащее сроки поставки товара или завершения работы либо график оказания услуг.</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Заказчик в техническом задании, проекте контракта документации об Аукционе установил: </w:t>
      </w:r>
      <w:r>
        <w:rPr>
          <w:rStyle w:val="CharStyle16"/>
        </w:rPr>
        <w:t>«...</w:t>
      </w:r>
    </w:p>
    <w:p>
      <w:pPr>
        <w:pStyle w:val="Style7"/>
        <w:widowControl w:val="0"/>
        <w:keepNext w:val="0"/>
        <w:keepLines w:val="0"/>
        <w:shd w:val="clear" w:color="auto" w:fill="auto"/>
        <w:bidi w:val="0"/>
        <w:spacing w:before="0" w:after="0"/>
        <w:ind w:left="20" w:right="20" w:firstLine="860"/>
      </w:pPr>
      <w:r>
        <w:rPr>
          <w:rStyle w:val="CharStyle13"/>
        </w:rPr>
        <w:t xml:space="preserve">Срок начала выполнения работ: </w:t>
      </w:r>
      <w:r>
        <w:rPr>
          <w:lang w:val="ru-RU" w:eastAsia="ru-RU" w:bidi="ru-RU"/>
          <w:w w:val="100"/>
          <w:spacing w:val="0"/>
          <w:color w:val="000000"/>
          <w:position w:val="0"/>
        </w:rPr>
        <w:t>Заказчик предварительно не менее чем за 10 дней до начала выполнения работ уведомляет Подрядчика о том, что можно приступать к выполнению работ (услуг) и назначает дату, но не позднее чем до 10.11.2017г.</w:t>
      </w:r>
    </w:p>
    <w:p>
      <w:pPr>
        <w:pStyle w:val="Style7"/>
        <w:widowControl w:val="0"/>
        <w:keepNext w:val="0"/>
        <w:keepLines w:val="0"/>
        <w:shd w:val="clear" w:color="auto" w:fill="auto"/>
        <w:bidi w:val="0"/>
        <w:spacing w:before="0" w:after="0"/>
        <w:ind w:left="20" w:right="20" w:firstLine="860"/>
      </w:pPr>
      <w:r>
        <w:rPr>
          <w:rStyle w:val="CharStyle13"/>
        </w:rPr>
        <w:t xml:space="preserve">Срок окончания выполнения работ: </w:t>
      </w:r>
      <w:r>
        <w:rPr>
          <w:lang w:val="ru-RU" w:eastAsia="ru-RU" w:bidi="ru-RU"/>
          <w:w w:val="100"/>
          <w:spacing w:val="0"/>
          <w:color w:val="000000"/>
          <w:position w:val="0"/>
        </w:rPr>
        <w:t>до 25.12.2017 года. Подрядчик имеет право выполнить работы досрочно.» (цитата).</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Учитывая изложенное, действия Заказчика, указавшего в документации об Аукционе ненадлежащий срок выполнения работ, нарушают требования пункта 2 статьи 42, части 5 статьи 63,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spacing w:before="0" w:after="60"/>
        <w:ind w:left="20" w:right="0" w:firstLine="860"/>
      </w:pPr>
      <w:r>
        <w:rPr>
          <w:lang w:val="ru-RU" w:eastAsia="ru-RU" w:bidi="ru-RU"/>
          <w:w w:val="100"/>
          <w:spacing w:val="0"/>
          <w:color w:val="000000"/>
          <w:position w:val="0"/>
        </w:rPr>
        <w:t>Таким образом, довод Заявителя нашел свое подтверждение.</w:t>
      </w:r>
    </w:p>
    <w:p>
      <w:pPr>
        <w:pStyle w:val="Style7"/>
        <w:widowControl w:val="0"/>
        <w:keepNext w:val="0"/>
        <w:keepLines w:val="0"/>
        <w:shd w:val="clear" w:color="auto" w:fill="auto"/>
        <w:bidi w:val="0"/>
        <w:spacing w:before="0" w:after="180"/>
        <w:ind w:left="20" w:right="20" w:firstLine="860"/>
      </w:pPr>
      <w:r>
        <w:rPr>
          <w:lang w:val="ru-RU" w:eastAsia="ru-RU" w:bidi="ru-RU"/>
          <w:w w:val="100"/>
          <w:spacing w:val="0"/>
          <w:color w:val="000000"/>
          <w:position w:val="0"/>
        </w:rPr>
        <w:t xml:space="preserve">Вместе с тем, Комиссией установлено, что Комиссией Крымского </w:t>
      </w:r>
      <w:r>
        <w:rPr>
          <w:rStyle w:val="CharStyle17"/>
        </w:rPr>
        <w:t xml:space="preserve">УФАС </w:t>
      </w:r>
      <w:r>
        <w:rPr>
          <w:lang w:val="ru-RU" w:eastAsia="ru-RU" w:bidi="ru-RU"/>
          <w:w w:val="100"/>
          <w:spacing w:val="0"/>
          <w:color w:val="000000"/>
          <w:position w:val="0"/>
        </w:rPr>
        <w:t>России по обращению Заказчика проведена внеплановая проверка процедуры закупки в соответствии с частью 15 статьи 99 Закона о контрактной системе, пунктом 3.30 Административного регламента от 19.11.2014 №727/14 (дело №06/4208-17), по результатам которой Заказчику выдано предписание от 08.11.2017 по делу №06/4208-17 о приведении документации об Аукционе в соответствие с требованиями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22" w:line="260" w:lineRule="exact"/>
        <w:ind w:left="0" w:right="0" w:firstLine="0"/>
      </w:pPr>
      <w:r>
        <w:rPr>
          <w:lang w:val="ru-RU" w:eastAsia="ru-RU" w:bidi="ru-RU"/>
          <w:w w:val="100"/>
          <w:spacing w:val="0"/>
          <w:color w:val="000000"/>
          <w:position w:val="0"/>
        </w:rPr>
        <w:t>РЕШИЛА:</w:t>
      </w:r>
    </w:p>
    <w:p>
      <w:pPr>
        <w:pStyle w:val="Style7"/>
        <w:numPr>
          <w:ilvl w:val="0"/>
          <w:numId w:val="5"/>
        </w:numPr>
        <w:widowControl w:val="0"/>
        <w:keepNext w:val="0"/>
        <w:keepLines w:val="0"/>
        <w:shd w:val="clear" w:color="auto" w:fill="auto"/>
        <w:bidi w:val="0"/>
        <w:spacing w:before="0" w:after="68" w:line="260" w:lineRule="exact"/>
        <w:ind w:left="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5"/>
        </w:numPr>
        <w:widowControl w:val="0"/>
        <w:keepNext w:val="0"/>
        <w:keepLines w:val="0"/>
        <w:shd w:val="clear" w:color="auto" w:fill="auto"/>
        <w:bidi w:val="0"/>
        <w:spacing w:before="0" w:after="60"/>
        <w:ind w:left="0" w:right="0" w:firstLine="860"/>
      </w:pPr>
      <w:r>
        <w:rPr>
          <w:lang w:val="ru-RU" w:eastAsia="ru-RU" w:bidi="ru-RU"/>
          <w:w w:val="100"/>
          <w:spacing w:val="0"/>
          <w:color w:val="000000"/>
          <w:position w:val="0"/>
        </w:rPr>
        <w:t xml:space="preserve"> Признать Заказчика нарушившим требования пункта 2 статьи 42, части 5 статьи 63, части 1 статьи 64 Закона о контрактной системе.</w:t>
      </w:r>
    </w:p>
    <w:p>
      <w:pPr>
        <w:pStyle w:val="Style7"/>
        <w:numPr>
          <w:ilvl w:val="0"/>
          <w:numId w:val="5"/>
        </w:numPr>
        <w:widowControl w:val="0"/>
        <w:keepNext w:val="0"/>
        <w:keepLines w:val="0"/>
        <w:shd w:val="clear" w:color="auto" w:fill="auto"/>
        <w:bidi w:val="0"/>
        <w:spacing w:before="0" w:after="60"/>
        <w:ind w:left="0" w:right="0" w:firstLine="860"/>
      </w:pPr>
      <w:r>
        <w:rPr>
          <w:lang w:val="ru-RU" w:eastAsia="ru-RU" w:bidi="ru-RU"/>
          <w:w w:val="100"/>
          <w:spacing w:val="0"/>
          <w:color w:val="000000"/>
          <w:position w:val="0"/>
        </w:rPr>
        <w:t xml:space="preserve"> Заказчику предписание об устранении нарушений Закона о контрактной системе не выдавать, т.к. по установленному нарушению выдано предписание по делу №06/4208-17.</w:t>
      </w:r>
    </w:p>
    <w:p>
      <w:pPr>
        <w:pStyle w:val="Style7"/>
        <w:numPr>
          <w:ilvl w:val="0"/>
          <w:numId w:val="5"/>
        </w:numPr>
        <w:widowControl w:val="0"/>
        <w:keepNext w:val="0"/>
        <w:keepLines w:val="0"/>
        <w:shd w:val="clear" w:color="auto" w:fill="auto"/>
        <w:bidi w:val="0"/>
        <w:spacing w:before="0" w:after="60"/>
        <w:ind w:left="0" w:right="0" w:firstLine="860"/>
      </w:pPr>
      <w:r>
        <w:rPr>
          <w:lang w:val="ru-RU" w:eastAsia="ru-RU" w:bidi="ru-RU"/>
          <w:w w:val="100"/>
          <w:spacing w:val="0"/>
          <w:color w:val="000000"/>
          <w:position w:val="0"/>
        </w:rPr>
        <w:t xml:space="preserve"> Материалы по делу №06/4190-17 соответствующему должностному лицу Крымского УФАС России для рассмотрения вопроса о возбуждении дела об административном правонарушении не передавать, в виду передачи материалов дела №06/4208-17.</w:t>
      </w:r>
    </w:p>
    <w:p>
      <w:pPr>
        <w:pStyle w:val="Style7"/>
        <w:numPr>
          <w:ilvl w:val="0"/>
          <w:numId w:val="5"/>
        </w:numPr>
        <w:widowControl w:val="0"/>
        <w:keepNext w:val="0"/>
        <w:keepLines w:val="0"/>
        <w:shd w:val="clear" w:color="auto" w:fill="auto"/>
        <w:bidi w:val="0"/>
        <w:spacing w:before="0" w:after="64"/>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02.11.2017 №06/12553.</w:t>
      </w:r>
    </w:p>
    <w:p>
      <w:pPr>
        <w:pStyle w:val="Style7"/>
        <w:widowControl w:val="0"/>
        <w:keepNext w:val="0"/>
        <w:keepLines w:val="0"/>
        <w:shd w:val="clear" w:color="auto" w:fill="auto"/>
        <w:bidi w:val="0"/>
        <w:spacing w:before="0" w:after="159" w:line="317"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42" w:val="right"/>
          <w:tab w:leader="none" w:pos="8383" w:val="right"/>
          <w:tab w:leader="none" w:pos="9533"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042" w:val="right"/>
          <w:tab w:leader="none" w:pos="8383" w:val="right"/>
          <w:tab w:leader="none" w:pos="9758"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Члены Комиссии:</w:t>
        <w:tab/>
        <w:t>О.</w:t>
        <w:tab/>
        <w:t>А.</w:t>
        <w:tab/>
        <w:t>Шалимова</w:t>
      </w:r>
    </w:p>
    <w:p>
      <w:pPr>
        <w:pStyle w:val="Style7"/>
        <w:widowControl w:val="0"/>
        <w:keepNext w:val="0"/>
        <w:keepLines w:val="0"/>
        <w:shd w:val="clear" w:color="auto" w:fill="auto"/>
        <w:bidi w:val="0"/>
        <w:jc w:val="left"/>
        <w:spacing w:before="0" w:after="0" w:line="260" w:lineRule="exact"/>
        <w:ind w:left="7800" w:right="0" w:firstLine="0"/>
      </w:pPr>
      <w:r>
        <w:rPr>
          <w:lang w:val="ru-RU" w:eastAsia="ru-RU" w:bidi="ru-RU"/>
          <w:w w:val="100"/>
          <w:spacing w:val="0"/>
          <w:color w:val="000000"/>
          <w:position w:val="0"/>
        </w:rPr>
        <w:t>Н. А. Баданин</w:t>
      </w:r>
    </w:p>
    <w:sectPr>
      <w:footnotePr>
        <w:pos w:val="pageBottom"/>
        <w:numFmt w:val="decimal"/>
        <w:numRestart w:val="continuous"/>
      </w:footnotePr>
      <w:type w:val="continuous"/>
      <w:pgSz w:w="11906" w:h="16838"/>
      <w:pgMar w:top="1391" w:left="922" w:right="764" w:bottom="9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 Полужирный"/>
    <w:basedOn w:val="CharStyle9"/>
    <w:rPr>
      <w:lang w:val="ru-RU" w:eastAsia="ru-RU" w:bidi="ru-RU"/>
      <w:b/>
      <w:bCs/>
      <w:w w:val="100"/>
      <w:spacing w:val="0"/>
      <w:color w:val="000000"/>
      <w:position w:val="0"/>
    </w:rPr>
  </w:style>
  <w:style w:type="character" w:customStyle="1" w:styleId="CharStyle14">
    <w:name w:val="Основной текст"/>
    <w:basedOn w:val="CharStyle9"/>
    <w:rPr>
      <w:lang w:val="en-US" w:eastAsia="en-US" w:bidi="en-US"/>
      <w:u w:val="single"/>
      <w:w w:val="100"/>
      <w:spacing w:val="0"/>
      <w:color w:val="000000"/>
      <w:position w:val="0"/>
    </w:rPr>
  </w:style>
  <w:style w:type="character" w:customStyle="1" w:styleId="CharStyle15">
    <w:name w:val="Основной текст"/>
    <w:basedOn w:val="CharStyle9"/>
    <w:rPr>
      <w:lang w:val="en-US" w:eastAsia="en-US" w:bidi="en-US"/>
      <w:w w:val="100"/>
      <w:spacing w:val="0"/>
      <w:color w:val="000000"/>
      <w:position w:val="0"/>
    </w:rPr>
  </w:style>
  <w:style w:type="character" w:customStyle="1" w:styleId="CharStyle16">
    <w:name w:val="Основной текст"/>
    <w:basedOn w:val="CharStyle9"/>
    <w:rPr>
      <w:lang w:val="ru-RU" w:eastAsia="ru-RU" w:bidi="ru-RU"/>
      <w:w w:val="100"/>
      <w:spacing w:val="0"/>
      <w:color w:val="000000"/>
      <w:position w:val="0"/>
    </w:rPr>
  </w:style>
  <w:style w:type="character" w:customStyle="1" w:styleId="CharStyle17">
    <w:name w:val="Основной текст"/>
    <w:basedOn w:val="CharStyle9"/>
    <w:rPr>
      <w:lang w:val="ru-RU" w:eastAsia="ru-RU" w:bidi="ru-RU"/>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jc w:val="both"/>
      <w:spacing w:before="102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300" w:after="180" w:line="341"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