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after="685" w:line="1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1842135</wp:posOffset>
            </wp:positionH>
            <wp:positionV relativeFrom="margin">
              <wp:posOffset>0</wp:posOffset>
            </wp:positionV>
            <wp:extent cx="402590" cy="43878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02590" cy="4387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385" w:right="550" w:bottom="938" w:left="1101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64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rStyle w:val="CharStyle6"/>
          <w:b/>
          <w:bCs/>
        </w:rPr>
        <w:t>Федеральной антимонопольной службы</w:t>
        <w:br/>
        <w:t>по Нижегородской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</w:rPr>
        <w:t>пл. Горького, 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6"/>
        </w:rPr>
        <w:t>г. Нижний Новгород, 603000</w:t>
        <w:br/>
        <w:t>тел. (831) 431-73-73, (831) 431-73-83</w:t>
        <w:br/>
      </w:r>
      <w:r>
        <w:rPr>
          <w:rStyle w:val="CharStyle6"/>
          <w:u w:val="single"/>
          <w:lang w:val="en-US" w:eastAsia="en-US"/>
        </w:rPr>
        <w:t xml:space="preserve">e-mail: to52@,fas, </w:t>
      </w:r>
      <w:r>
        <w:rPr>
          <w:rStyle w:val="CharStyle6"/>
          <w:u w:val="single"/>
          <w:lang w:val="en-US" w:eastAsia="en-US"/>
        </w:rPr>
        <w:t>gov.ru</w:t>
      </w:r>
    </w:p>
    <w:p>
      <w:pPr>
        <w:pStyle w:val="Style9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0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0"/>
        </w:rPr>
        <w:t>5.09.2026</w:t>
      </w:r>
      <w:r>
        <w:rPr>
          <w:rStyle w:val="CharStyle10"/>
          <w:u w:val="none"/>
        </w:rPr>
        <w:tab/>
      </w:r>
      <w:r>
        <w:fldChar w:fldCharType="end"/>
      </w:r>
      <w:r>
        <w:rPr>
          <w:rStyle w:val="CharStyle10"/>
          <w:u w:val="none"/>
        </w:rPr>
        <w:t xml:space="preserve">№ </w:t>
      </w:r>
      <w:r>
        <w:rPr>
          <w:rStyle w:val="CharStyle10"/>
        </w:rPr>
        <w:t>ИБ/18988/2</w:t>
      </w:r>
      <w:r>
        <w:rPr>
          <w:rStyle w:val="CharStyle10"/>
          <w:u w:val="none"/>
        </w:rPr>
        <w:t>6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6"/>
        </w:rPr>
        <w:t xml:space="preserve">На №  от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3"/>
          <w:sz w:val="28"/>
          <w:szCs w:val="28"/>
        </w:rPr>
        <w:t>Главное управление Федеральной службы судебных приставов по Нижегородской области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3"/>
          <w:sz w:val="28"/>
          <w:szCs w:val="28"/>
        </w:rPr>
        <w:t xml:space="preserve">603950, ГСП-530, г.Нижний Новгород, ул. Вождей Революции, д.5а, корпус 1 </w:t>
      </w:r>
      <w:r>
        <w:fldChar w:fldCharType="begin"/>
      </w:r>
      <w:r>
        <w:rPr/>
        <w:instrText> HYPERLINK "mailto:mail@r52.fssp.gov.ru" </w:instrText>
      </w:r>
      <w:r>
        <w:fldChar w:fldCharType="separate"/>
      </w:r>
      <w:r>
        <w:rPr>
          <w:rStyle w:val="CharStyle13"/>
          <w:sz w:val="28"/>
          <w:szCs w:val="28"/>
          <w:lang w:val="en-US" w:eastAsia="en-US"/>
        </w:rPr>
        <w:t>mail@r52.fssp.gov.ru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3"/>
          <w:sz w:val="28"/>
          <w:szCs w:val="28"/>
        </w:rPr>
        <w:t>ООО «ПОБЕДА»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fldChar w:fldCharType="begin"/>
      </w:r>
      <w:r>
        <w:rPr/>
        <w:instrText> HYPERLINK "mailto:kv@cartzakaz.ru" </w:instrText>
      </w:r>
      <w:r>
        <w:fldChar w:fldCharType="separate"/>
      </w:r>
      <w:r>
        <w:rPr>
          <w:rStyle w:val="CharStyle13"/>
          <w:sz w:val="28"/>
          <w:szCs w:val="28"/>
          <w:lang w:val="en-US" w:eastAsia="en-US"/>
        </w:rPr>
        <w:t>kv@cartzakaz.ru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3"/>
          <w:sz w:val="28"/>
          <w:szCs w:val="28"/>
        </w:rPr>
        <w:t>АО «Сбербанк-АСТ»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3"/>
          <w:sz w:val="28"/>
          <w:szCs w:val="28"/>
        </w:rPr>
        <w:t>119435, г. Москва, Большой Саввинский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3"/>
          <w:sz w:val="28"/>
          <w:szCs w:val="28"/>
        </w:rPr>
        <w:t>переулок, д.12, стр. 9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85" w:right="642" w:bottom="1371" w:left="1135" w:header="0" w:footer="3" w:gutter="0"/>
          <w:cols w:num="2" w:space="720" w:equalWidth="0">
            <w:col w:w="4334" w:space="936"/>
            <w:col w:w="4853"/>
          </w:cols>
          <w:noEndnote/>
          <w:rtlGutter w:val="0"/>
          <w:docGrid w:linePitch="360"/>
        </w:sectPr>
      </w:pPr>
      <w:r>
        <w:fldChar w:fldCharType="begin"/>
      </w:r>
      <w:r>
        <w:rPr/>
        <w:instrText> HYPERLINK "mailto:ko@sberbank-ast.ru" </w:instrText>
      </w:r>
      <w:r>
        <w:fldChar w:fldCharType="separate"/>
      </w:r>
      <w:r>
        <w:rPr>
          <w:rStyle w:val="CharStyle13"/>
          <w:sz w:val="28"/>
          <w:szCs w:val="28"/>
          <w:lang w:val="en-US" w:eastAsia="en-US"/>
        </w:rPr>
        <w:t>ko@sberbank-ast.ru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19" w:after="11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85" w:right="0" w:bottom="137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3"/>
          <w:b/>
          <w:bCs/>
        </w:rPr>
        <w:t>РЕШЕНИЕ</w:t>
        <w:br/>
        <w:t>№ 052/06/105-2207/2026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705485</wp:posOffset>
                </wp:positionH>
                <wp:positionV relativeFrom="paragraph">
                  <wp:posOffset>12700</wp:posOffset>
                </wp:positionV>
                <wp:extent cx="1576070" cy="234950"/>
                <wp:wrapSquare wrapText="bothSides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7607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22 сентября 2026 года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5.550000000000004pt;margin-top:1.pt;width:124.10000000000001pt;height:18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22 сентября 2026 года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13"/>
        </w:rPr>
        <w:t>город Нижний Новгород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-1860" w:right="0" w:firstLine="740"/>
        <w:jc w:val="both"/>
      </w:pPr>
      <w:r>
        <w:rPr>
          <w:rStyle w:val="CharStyle13"/>
        </w:rPr>
        <w:t>Комиссия Управления Федеральной антимонопольной службы по Нижегородской области по контролю в сфере закупок в составе: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42" w:val="left"/>
        </w:tabs>
        <w:bidi w:val="0"/>
        <w:spacing w:before="0" w:after="0" w:line="240" w:lineRule="auto"/>
        <w:ind w:left="0" w:right="0" w:firstLine="560"/>
        <w:jc w:val="left"/>
      </w:pPr>
      <w:r>
        <mc:AlternateContent>
          <mc:Choice Requires="wps">
            <w:drawing>
              <wp:anchor distT="0" distB="0" distL="0" distR="0" simplePos="0" relativeHeight="125829380" behindDoc="0" locked="0" layoutInCell="1" allowOverlap="1">
                <wp:simplePos x="0" y="0"/>
                <wp:positionH relativeFrom="page">
                  <wp:posOffset>708660</wp:posOffset>
                </wp:positionH>
                <wp:positionV relativeFrom="paragraph">
                  <wp:posOffset>0</wp:posOffset>
                </wp:positionV>
                <wp:extent cx="1167130" cy="804545"/>
                <wp:wrapSquare wrapText="bothSides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67130" cy="8045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pos="144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Баранова И.В.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pos="144" w:val="left"/>
                              </w:tabs>
                              <w:bidi w:val="0"/>
                              <w:spacing w:before="0" w:after="2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Лебедева Ю.К.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pos="144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Макарова Е.А.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5.800000000000004pt;margin-top:0;width:91.900000000000006pt;height:63.350000000000001pt;z-index:-12582937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144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Баранова И.В.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144" w:val="left"/>
                        </w:tabs>
                        <w:bidi w:val="0"/>
                        <w:spacing w:before="0" w:after="2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Лебедева Ю.К.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144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Макарова Е.А.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13"/>
        </w:rPr>
        <w:t>председателя комиссии, заместителя руководителя Управления,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42" w:val="left"/>
        </w:tabs>
        <w:bidi w:val="0"/>
        <w:spacing w:before="0" w:after="0" w:line="240" w:lineRule="auto"/>
        <w:ind w:left="720" w:right="0" w:hanging="160"/>
        <w:jc w:val="both"/>
      </w:pPr>
      <w:r>
        <w:rPr>
          <w:rStyle w:val="CharStyle13"/>
        </w:rPr>
        <w:t>член комиссии, специалист-эксперт отдела контроля государственных и муниципальных закупок,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42" w:val="left"/>
        </w:tabs>
        <w:bidi w:val="0"/>
        <w:spacing w:before="0" w:after="320" w:line="240" w:lineRule="auto"/>
        <w:ind w:left="720" w:right="0" w:hanging="160"/>
        <w:jc w:val="both"/>
      </w:pPr>
      <w:r>
        <w:rPr>
          <w:rStyle w:val="CharStyle13"/>
        </w:rPr>
        <w:t>член комиссии, специалист 1 разряда отдела контроля государственных и муниципальных закупок,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" w:right="0" w:firstLine="0"/>
        <w:jc w:val="left"/>
      </w:pPr>
      <w:r>
        <w:rPr>
          <w:rStyle w:val="CharStyle17"/>
        </w:rPr>
        <w:t>при участии по видео-конференц-связи</w:t>
      </w:r>
    </w:p>
    <w:tbl>
      <w:tblPr>
        <w:tblOverlap w:val="never"/>
        <w:jc w:val="right"/>
        <w:tblLayout w:type="fixed"/>
      </w:tblPr>
      <w:tblGrid>
        <w:gridCol w:w="2208"/>
        <w:gridCol w:w="8021"/>
      </w:tblGrid>
      <w:tr>
        <w:trPr>
          <w:trHeight w:val="888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9"/>
              </w:rPr>
              <w:t>Лысенко Г.А.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</w:pPr>
            <w:r>
              <w:rPr>
                <w:rStyle w:val="CharStyle19"/>
              </w:rPr>
              <w:t>представителя Главного управления Федеральной службы</w:t>
            </w:r>
          </w:p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60" w:right="0" w:hanging="260"/>
              <w:jc w:val="left"/>
            </w:pPr>
            <w:r>
              <w:rPr>
                <w:rStyle w:val="CharStyle19"/>
              </w:rPr>
              <w:t>– судебных приставов по Нижегородской области по доверенности от 29.12.2025 № Д52908/25/93,</w:t>
            </w:r>
          </w:p>
        </w:tc>
      </w:tr>
      <w:tr>
        <w:trPr>
          <w:trHeight w:val="54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9"/>
              </w:rPr>
              <w:t>Китаевой Ю.А.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60" w:right="0" w:firstLine="0"/>
              <w:jc w:val="left"/>
            </w:pPr>
            <w:r>
              <w:rPr>
                <w:rStyle w:val="CharStyle19"/>
              </w:rPr>
              <w:t>Представителя ООО «ПОБЕДА» по доверенности от 21.09.2026 № 1</w:t>
            </w:r>
          </w:p>
        </w:tc>
      </w:tr>
    </w:tbl>
    <w:p>
      <w:pPr>
        <w:widowControl w:val="0"/>
        <w:spacing w:after="319" w:line="1" w:lineRule="exact"/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-1860" w:right="0" w:firstLine="88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85" w:right="550" w:bottom="1371" w:left="2954" w:header="0" w:footer="3" w:gutter="0"/>
          <w:cols w:space="720"/>
          <w:noEndnote/>
          <w:rtlGutter w:val="0"/>
          <w:docGrid w:linePitch="360"/>
        </w:sectPr>
      </w:pPr>
      <w:r>
        <w:rPr>
          <w:rStyle w:val="CharStyle13"/>
        </w:rPr>
        <w:t>рассмотрев посредством видеоконферецсвязи жалобу общества с ограниченной ответственностью «ПОБЕДА» (далее также – общество, заявитель) о нарушении Главного</w:t>
      </w:r>
    </w:p>
    <w:p>
      <w:pPr>
        <w:widowControl w:val="0"/>
        <w:spacing w:line="79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85" w:right="0" w:bottom="938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after="705" w:line="1" w:lineRule="exact"/>
      </w:pPr>
      <w:r>
        <w:drawing>
          <wp:anchor distT="0" distB="0" distL="0" distR="0" simplePos="0" relativeHeight="62914693" behindDoc="1" locked="0" layoutInCell="1" allowOverlap="1">
            <wp:simplePos x="0" y="0"/>
            <wp:positionH relativeFrom="page">
              <wp:posOffset>699135</wp:posOffset>
            </wp:positionH>
            <wp:positionV relativeFrom="paragraph">
              <wp:posOffset>12700</wp:posOffset>
            </wp:positionV>
            <wp:extent cx="1334770" cy="450850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1334770" cy="4508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85" w:right="550" w:bottom="938" w:left="1101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 xml:space="preserve">управления Федерального службы судебных приставов по Нижегородской области (далее также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 xml:space="preserve">Заказчик) при определении поставщика путем проведения электронного аукциона на право заключения контракта по объекту закупки: «приобретение картриджей и тонеров для организационной техники», номер извещения </w:t>
      </w:r>
      <w:r>
        <w:rPr>
          <w:rStyle w:val="CharStyle13"/>
          <w:lang w:val="en-US" w:eastAsia="en-US"/>
        </w:rPr>
        <w:t>0332100031826000027,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rStyle w:val="CharStyle13"/>
          <w:b/>
          <w:bCs/>
        </w:rPr>
        <w:t>установила: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3"/>
        </w:rPr>
        <w:t xml:space="preserve">В Управление Федеральной антимонопольной службы по Нижегородской области поступила жалоба заявителя на действия заказчика при определении поставщика путем проведения электронного аукциона на право заключения контракта по объекту закупки: «приобретение картриджей и тонеров для организационной техники», номер извещения </w:t>
      </w:r>
      <w:r>
        <w:rPr>
          <w:rStyle w:val="CharStyle13"/>
          <w:lang w:val="en-US" w:eastAsia="en-US"/>
        </w:rPr>
        <w:t xml:space="preserve">0332100031826000027. </w:t>
      </w:r>
      <w:r>
        <w:rPr>
          <w:rStyle w:val="CharStyle13"/>
        </w:rPr>
        <w:t xml:space="preserve">По мнению заявителя, действия заказчика не соответствуют требованиям положений Федерального закона от </w:t>
      </w:r>
      <w:r>
        <w:rPr>
          <w:rStyle w:val="CharStyle13"/>
          <w:lang w:val="en-US" w:eastAsia="en-US"/>
        </w:rPr>
        <w:t xml:space="preserve">05.04.2013 </w:t>
      </w:r>
      <w:r>
        <w:rPr>
          <w:rStyle w:val="CharStyle13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также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>Закон о контрактной системе).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3"/>
        </w:rPr>
        <w:t>Представители Заказчика на заседании Комиссии Нижегородского УФАС России с доводами, изложенными в жалобе заявителя, не согласились, факт нарушений требований Закона о контрактной системе не признали, считают жалобу заявителя необоснованной, а требования, изложенные в ней, не подлежащими удовлетворению.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3"/>
        </w:rPr>
        <w:t xml:space="preserve">Комиссия Управления Федеральной антимонопольной службы по Нижегородской области по контролю в сфере закупок, выслушав доводы лиц, участвующих в рассмотрении жалобы, исследовав их в совокупности с имеющимися в деле материалами и осуществив внеплановую проверку рассматриваемой закупки в соответствии с требованиями части </w:t>
      </w:r>
      <w:r>
        <w:rPr>
          <w:rStyle w:val="CharStyle13"/>
          <w:lang w:val="en-US" w:eastAsia="en-US"/>
        </w:rPr>
        <w:t xml:space="preserve">15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99 </w:t>
      </w:r>
      <w:r>
        <w:rPr>
          <w:rStyle w:val="CharStyle13"/>
        </w:rPr>
        <w:t>Закона о контрактной системе, пришла к следующим выводам.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13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13"/>
          <w:lang w:val="en-US" w:eastAsia="en-US"/>
        </w:rPr>
        <w:t xml:space="preserve">10.09.2026 </w:t>
      </w:r>
      <w:r>
        <w:rPr>
          <w:rStyle w:val="CharStyle13"/>
        </w:rPr>
        <w:t xml:space="preserve">в единой информационной системе и на сайте электронной площадки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АО «Сбербанк-АСТ»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размещено извещение о проведении электронного аукциона. Начальная (максимальная) цена контракта </w:t>
      </w:r>
      <w:r>
        <w:rPr>
          <w:rStyle w:val="CharStyle13"/>
          <w:lang w:val="en-US" w:eastAsia="en-US"/>
        </w:rPr>
        <w:t xml:space="preserve">– 2 130 392,79 </w:t>
      </w:r>
      <w:r>
        <w:rPr>
          <w:rStyle w:val="CharStyle13"/>
        </w:rPr>
        <w:t>рублей.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18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13"/>
        </w:rPr>
        <w:t>По мнению заявителя, извещение о проведении закупки не соответствуют требованиям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3"/>
        </w:rPr>
        <w:t xml:space="preserve">Относительно кода ОКПД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установлено следующее: в п. </w:t>
      </w:r>
      <w:r>
        <w:rPr>
          <w:rStyle w:val="CharStyle13"/>
          <w:lang w:val="en-US" w:eastAsia="en-US"/>
        </w:rPr>
        <w:t xml:space="preserve">4 </w:t>
      </w:r>
      <w:r>
        <w:rPr>
          <w:rStyle w:val="CharStyle13"/>
        </w:rPr>
        <w:t xml:space="preserve">Описания объекта закупки и в п. </w:t>
      </w:r>
      <w:r>
        <w:rPr>
          <w:rStyle w:val="CharStyle13"/>
          <w:lang w:val="en-US" w:eastAsia="en-US"/>
        </w:rPr>
        <w:t xml:space="preserve">6 </w:t>
      </w:r>
      <w:r>
        <w:rPr>
          <w:rStyle w:val="CharStyle13"/>
        </w:rPr>
        <w:t xml:space="preserve">Извещения Код по Общероссийскому классификатору видов экономической деятельности, продукции и услуг (ОКПД </w:t>
      </w:r>
      <w:r>
        <w:rPr>
          <w:rStyle w:val="CharStyle13"/>
          <w:lang w:val="en-US" w:eastAsia="en-US"/>
        </w:rPr>
        <w:t xml:space="preserve">2; </w:t>
      </w:r>
      <w:r>
        <w:rPr>
          <w:rStyle w:val="CharStyle13"/>
        </w:rPr>
        <w:t xml:space="preserve">КТРУ) указан: ОКПД2: </w:t>
      </w:r>
      <w:r>
        <w:rPr>
          <w:rStyle w:val="CharStyle13"/>
          <w:lang w:val="en-US" w:eastAsia="en-US"/>
        </w:rPr>
        <w:t xml:space="preserve">26.20.40.120: </w:t>
      </w:r>
      <w:r>
        <w:rPr>
          <w:rStyle w:val="CharStyle13"/>
        </w:rPr>
        <w:t>Элементы замены типовые устройств ввода и вывода.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rStyle w:val="CharStyle13"/>
        </w:rPr>
        <w:t xml:space="preserve">КТРУ </w:t>
      </w:r>
      <w:r>
        <w:rPr>
          <w:rStyle w:val="CharStyle13"/>
          <w:lang w:val="en-US" w:eastAsia="en-US"/>
        </w:rPr>
        <w:t xml:space="preserve">20.59.12.120-00000002 </w:t>
      </w:r>
      <w:r>
        <w:rPr>
          <w:rStyle w:val="CharStyle13"/>
        </w:rPr>
        <w:t>«Картридж для электрографических печатающих устройств».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То есть код </w:t>
      </w:r>
      <w:r>
        <w:rPr>
          <w:rStyle w:val="CharStyle13"/>
          <w:lang w:val="en-US" w:eastAsia="en-US"/>
        </w:rPr>
        <w:t xml:space="preserve">20.59.12.120-00000002, </w:t>
      </w:r>
      <w:r>
        <w:rPr>
          <w:rStyle w:val="CharStyle13"/>
        </w:rPr>
        <w:t>является кодом позиции из КТРУ.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3"/>
        </w:rPr>
        <w:t xml:space="preserve">В силу части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 xml:space="preserve">Закона о контрактной системе описание объекта закупки в соответствии с требованиями, указанными в 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>названной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3"/>
        </w:rPr>
        <w:t xml:space="preserve">Часть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42 </w:t>
      </w:r>
      <w:r>
        <w:rPr>
          <w:rStyle w:val="CharStyle13"/>
        </w:rPr>
        <w:t xml:space="preserve">Закона о контрактной системе установила, что извещение об осуществлении закупки, если иное не предусмотрено Законом о контрактной системе, должно содержать, в том числе электронный документ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>описание объекта закупки в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 xml:space="preserve">соответствии со статьей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>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3"/>
        </w:rPr>
        <w:t xml:space="preserve">Пунктом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>Закона о контрактной системе предусмотрено, что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3"/>
        </w:rPr>
        <w:t xml:space="preserve">Комиссия Нижегородского УФАС России установила, что в извещении </w:t>
      </w:r>
      <w:r>
        <w:rPr>
          <w:rStyle w:val="CharStyle13"/>
          <w:lang w:val="en-US" w:eastAsia="en-US"/>
        </w:rPr>
        <w:t xml:space="preserve">№0332100031826000027 </w:t>
      </w:r>
      <w:r>
        <w:rPr>
          <w:rStyle w:val="CharStyle13"/>
        </w:rPr>
        <w:t xml:space="preserve">в соответствии со статьей </w:t>
      </w:r>
      <w:r>
        <w:rPr>
          <w:rStyle w:val="CharStyle13"/>
          <w:lang w:val="en-US" w:eastAsia="en-US"/>
        </w:rPr>
        <w:t xml:space="preserve">14 </w:t>
      </w:r>
      <w:r>
        <w:rPr>
          <w:rStyle w:val="CharStyle13"/>
        </w:rPr>
        <w:t xml:space="preserve">Закона о контрактной системе установлено ограничение закупок товаров, происходящих из иностранных государств, выполняемых работ, оказываемых услуг иностранными лицами на основании постановления Правительства РФ от </w:t>
      </w:r>
      <w:r>
        <w:rPr>
          <w:rStyle w:val="CharStyle13"/>
          <w:lang w:val="en-US" w:eastAsia="en-US"/>
        </w:rPr>
        <w:t xml:space="preserve">23.12.2024 № 1875 </w:t>
      </w:r>
      <w:r>
        <w:rPr>
          <w:rStyle w:val="CharStyle13"/>
        </w:rPr>
        <w:t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3"/>
        </w:rPr>
        <w:t xml:space="preserve">В свою очередь вышеуказанное ограничение закупок товаров, происходящих из иностранных государств, выполняемых работ, оказываемых услуг иностранными лицами не применяется в соответствии п.п. «б» пункта </w:t>
      </w:r>
      <w:r>
        <w:rPr>
          <w:rStyle w:val="CharStyle13"/>
          <w:lang w:val="en-US" w:eastAsia="en-US"/>
        </w:rPr>
        <w:t xml:space="preserve">6 </w:t>
      </w:r>
      <w:r>
        <w:rPr>
          <w:rStyle w:val="CharStyle13"/>
        </w:rPr>
        <w:t xml:space="preserve">Постановления Правительства РФ от </w:t>
      </w:r>
      <w:r>
        <w:rPr>
          <w:rStyle w:val="CharStyle13"/>
          <w:lang w:val="en-US" w:eastAsia="en-US"/>
        </w:rPr>
        <w:t xml:space="preserve">23.12.2024 № 1875 </w:t>
      </w:r>
      <w:r>
        <w:rPr>
          <w:rStyle w:val="CharStyle13"/>
        </w:rPr>
        <w:t xml:space="preserve">(далее </w:t>
      </w:r>
      <w:r>
        <w:rPr>
          <w:rStyle w:val="CharStyle13"/>
          <w:lang w:val="en-US" w:eastAsia="en-US"/>
        </w:rPr>
        <w:t xml:space="preserve">— </w:t>
      </w:r>
      <w:r>
        <w:rPr>
          <w:rStyle w:val="CharStyle13"/>
        </w:rPr>
        <w:t xml:space="preserve">Постановление </w:t>
      </w:r>
      <w:r>
        <w:rPr>
          <w:rStyle w:val="CharStyle13"/>
          <w:lang w:val="en-US" w:eastAsia="en-US"/>
        </w:rPr>
        <w:t>№1875).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3"/>
        </w:rPr>
        <w:t xml:space="preserve">Подпункт «б» пункта </w:t>
      </w:r>
      <w:r>
        <w:rPr>
          <w:rStyle w:val="CharStyle13"/>
          <w:lang w:val="en-US" w:eastAsia="en-US"/>
        </w:rPr>
        <w:t xml:space="preserve">6 </w:t>
      </w:r>
      <w:r>
        <w:rPr>
          <w:rStyle w:val="CharStyle13"/>
        </w:rPr>
        <w:t xml:space="preserve">Постановление </w:t>
      </w:r>
      <w:r>
        <w:rPr>
          <w:rStyle w:val="CharStyle13"/>
          <w:lang w:val="en-US" w:eastAsia="en-US"/>
        </w:rPr>
        <w:t xml:space="preserve">№1875 </w:t>
      </w:r>
      <w:r>
        <w:rPr>
          <w:rStyle w:val="CharStyle13"/>
        </w:rPr>
        <w:t xml:space="preserve">указывает на следующее, ограничение, предусмотренное пунктом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настоящего постановления, может не применяться заказчиками при осуществлении закупок: товара из числа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Положения настоящего подпункта не применяются при осуществлении закупок товаров, указанных в приложении </w:t>
      </w:r>
      <w:r>
        <w:rPr>
          <w:rStyle w:val="CharStyle13"/>
          <w:lang w:val="en-US" w:eastAsia="en-US"/>
        </w:rPr>
        <w:t xml:space="preserve">№2 </w:t>
      </w:r>
      <w:r>
        <w:rPr>
          <w:rStyle w:val="CharStyle13"/>
        </w:rPr>
        <w:t>к настоящему постановлению и являющихся расходными материалами, комплектующими, принадлежностями к медицинским изделиям.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3"/>
        </w:rPr>
        <w:t>Извещение содержит соответствующую информацию.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3"/>
        </w:rPr>
        <w:t>Кроме того, описание объекта закупки содержит указание на модель родительского устройства, что обусловлено необходимостью обеспечения взаимодействия закупаемого Товара с оборудованием Заказчика в соответствии с его технической документацией.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3"/>
        </w:rPr>
        <w:t xml:space="preserve">Исходя из анализа части </w:t>
      </w:r>
      <w:r>
        <w:rPr>
          <w:rStyle w:val="CharStyle13"/>
          <w:lang w:val="en-US" w:eastAsia="en-US"/>
        </w:rPr>
        <w:t xml:space="preserve">4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106 </w:t>
      </w:r>
      <w:r>
        <w:rPr>
          <w:rStyle w:val="CharStyle13"/>
        </w:rPr>
        <w:t>Закона следует, что именно на Заявителя жалобы возложена обязанность по доказыванию обоснованности доводов жалобы с предоставлением соответствующих документов. Заявитель не представил доказательства, однозначно свидетельствующие о неправомерности установления Заказчиком характеристик подобным образом, равно как и об ограничении потенциального количества участников закупки путем установления спорных характеристик и лишении Заявителя возможности подать заявку на участие в закупке. По существу доводы жалобы носят вероятностный, уклончивый и предположительный характер. Таким образом, Комиссия Нижегородского УФАС России признает жалобу ООО «ПОБЕДА» необоснованной.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rStyle w:val="CharStyle13"/>
          <w:b/>
          <w:bCs/>
        </w:rPr>
        <w:t>решила: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3"/>
        </w:rPr>
        <w:t>Признать жалобу общества с ограниченной ответственностью «ПОБЕДА» о</w:t>
      </w:r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 xml:space="preserve">нарушении Главного управления Федерального службы судебных приставов по Нижегородской области при определении поставщика путем проведения электронного аукциона на право заключения контракта по объекту закупки: «приобретение картриджей и тонеров для организационной техники», номер извещения </w:t>
      </w:r>
      <w:r>
        <w:rPr>
          <w:rStyle w:val="CharStyle13"/>
          <w:lang w:val="en-US" w:eastAsia="en-US"/>
        </w:rPr>
        <w:t xml:space="preserve">0332100031826000027, </w:t>
      </w:r>
      <w:r>
        <w:rPr>
          <w:rStyle w:val="CharStyle13"/>
        </w:rPr>
        <w:t>необоснованной.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3"/>
        </w:rPr>
        <w:t xml:space="preserve">В соответствии с частью </w:t>
      </w:r>
      <w:r>
        <w:rPr>
          <w:rStyle w:val="CharStyle13"/>
          <w:lang w:val="en-US" w:eastAsia="en-US"/>
        </w:rPr>
        <w:t xml:space="preserve">9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106 </w:t>
      </w:r>
      <w:r>
        <w:rPr>
          <w:rStyle w:val="CharStyle13"/>
        </w:rPr>
        <w:t xml:space="preserve">Федерального закона от </w:t>
      </w:r>
      <w:r>
        <w:rPr>
          <w:rStyle w:val="CharStyle13"/>
          <w:lang w:val="en-US" w:eastAsia="en-US"/>
        </w:rPr>
        <w:t xml:space="preserve">05.04.2013 № </w:t>
      </w:r>
      <w:r>
        <w:rPr>
          <w:rStyle w:val="CharStyle13"/>
        </w:rPr>
        <w:t>44-ФЗ «О контрактной системе в сфере закупок товаров, работ, услуг для обеспечения государственных и муниципальных нужд» 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headerReference w:type="default" r:id="rId10"/>
          <w:footerReference w:type="default" r:id="rId11"/>
          <w:footnotePr>
            <w:pos w:val="pageBottom"/>
            <w:numFmt w:val="decimal"/>
            <w:numRestart w:val="continuous"/>
          </w:footnotePr>
          <w:pgSz w:w="11900" w:h="16840"/>
          <w:pgMar w:top="1638" w:right="550" w:bottom="1619" w:left="1102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92100" distB="371475" distL="0" distR="0" simplePos="0" relativeHeight="125829382" behindDoc="0" locked="0" layoutInCell="1" allowOverlap="1">
                <wp:simplePos x="0" y="0"/>
                <wp:positionH relativeFrom="page">
                  <wp:posOffset>739775</wp:posOffset>
                </wp:positionH>
                <wp:positionV relativeFrom="paragraph">
                  <wp:posOffset>292100</wp:posOffset>
                </wp:positionV>
                <wp:extent cx="1569720" cy="21971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6972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13"/>
                                <w:sz w:val="24"/>
                                <w:szCs w:val="24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8.25pt;margin-top:23.pt;width:123.60000000000001pt;height:17.300000000000001pt;z-index:-125829371;mso-wrap-distance-left:0;mso-wrap-distance-top:23.pt;mso-wrap-distance-right:0;mso-wrap-distance-bottom:29.25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13"/>
                          <w:sz w:val="24"/>
                          <w:szCs w:val="24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28930" distB="0" distL="0" distR="1786255" simplePos="0" relativeHeight="125829384" behindDoc="0" locked="0" layoutInCell="1" allowOverlap="1">
            <wp:simplePos x="0" y="0"/>
            <wp:positionH relativeFrom="page">
              <wp:posOffset>3196590</wp:posOffset>
            </wp:positionH>
            <wp:positionV relativeFrom="paragraph">
              <wp:posOffset>328930</wp:posOffset>
            </wp:positionV>
            <wp:extent cx="389890" cy="554990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3693160</wp:posOffset>
                </wp:positionH>
                <wp:positionV relativeFrom="paragraph">
                  <wp:posOffset>767715</wp:posOffset>
                </wp:positionV>
                <wp:extent cx="1280160" cy="10033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2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90.80000000000001pt;margin-top:60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2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3650615</wp:posOffset>
                </wp:positionH>
                <wp:positionV relativeFrom="paragraph">
                  <wp:posOffset>450850</wp:posOffset>
                </wp:positionV>
                <wp:extent cx="1722120" cy="25908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87.44999999999999pt;margin-top:35.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92100" distB="371475" distL="0" distR="0" simplePos="0" relativeHeight="125829385" behindDoc="0" locked="0" layoutInCell="1" allowOverlap="1">
                <wp:simplePos x="0" y="0"/>
                <wp:positionH relativeFrom="page">
                  <wp:posOffset>5921375</wp:posOffset>
                </wp:positionH>
                <wp:positionV relativeFrom="paragraph">
                  <wp:posOffset>292100</wp:posOffset>
                </wp:positionV>
                <wp:extent cx="883920" cy="21971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392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13"/>
                                <w:sz w:val="24"/>
                                <w:szCs w:val="24"/>
                              </w:rPr>
                              <w:t>И.В. Баранов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66.25pt;margin-top:23.pt;width:69.600000000000009pt;height:17.300000000000001pt;z-index:-125829368;mso-wrap-distance-left:0;mso-wrap-distance-top:23.pt;mso-wrap-distance-right:0;mso-wrap-distance-bottom:29.25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13"/>
                          <w:sz w:val="24"/>
                          <w:szCs w:val="24"/>
                        </w:rPr>
                        <w:t>И.В. Баранов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Баранов Илья Валерьевич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0D493BB3DAA620D04EE744081508209F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Действителен с 24.09.2025 </w:t>
      </w:r>
      <w:r>
        <w:rPr>
          <w:rStyle w:val="CharStyle25"/>
          <w:color w:val="5E5E5E"/>
        </w:rPr>
        <w:t xml:space="preserve">по </w:t>
      </w:r>
      <w:r>
        <w:rPr>
          <w:rStyle w:val="CharStyle25"/>
        </w:rPr>
        <w:t>18.12.2026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right="555" w:bottom="1618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74650" distL="0" distR="0" simplePos="0" relativeHeight="125829387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127000</wp:posOffset>
                </wp:positionV>
                <wp:extent cx="1155065" cy="216535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5506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13"/>
                                <w:sz w:val="24"/>
                                <w:szCs w:val="24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58.pt;margin-top:10.pt;width:90.950000000000003pt;height:17.050000000000001pt;z-index:-125829366;mso-wrap-distance-left:0;mso-wrap-distance-top:10.pt;mso-wrap-distance-right:0;mso-wrap-distance-bottom:29.5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13"/>
                          <w:sz w:val="24"/>
                          <w:szCs w:val="24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3830" distB="0" distL="0" distR="1786255" simplePos="0" relativeHeight="125829389" behindDoc="0" locked="0" layoutInCell="1" allowOverlap="1">
            <wp:simplePos x="0" y="0"/>
            <wp:positionH relativeFrom="page">
              <wp:posOffset>3196590</wp:posOffset>
            </wp:positionH>
            <wp:positionV relativeFrom="paragraph">
              <wp:posOffset>163830</wp:posOffset>
            </wp:positionV>
            <wp:extent cx="389890" cy="554990"/>
            <wp:wrapTopAndBottom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3693160</wp:posOffset>
                </wp:positionH>
                <wp:positionV relativeFrom="paragraph">
                  <wp:posOffset>602615</wp:posOffset>
                </wp:positionV>
                <wp:extent cx="1280160" cy="10033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2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90.80000000000001pt;margin-top:47.450000000000003pt;width:100.8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2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3650615</wp:posOffset>
                </wp:positionH>
                <wp:positionV relativeFrom="paragraph">
                  <wp:posOffset>285750</wp:posOffset>
                </wp:positionV>
                <wp:extent cx="1722120" cy="25908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87.44999999999999pt;margin-top:22.5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74650" distL="0" distR="0" simplePos="0" relativeHeight="125829390" behindDoc="0" locked="0" layoutInCell="1" allowOverlap="1">
                <wp:simplePos x="0" y="0"/>
                <wp:positionH relativeFrom="page">
                  <wp:posOffset>5921375</wp:posOffset>
                </wp:positionH>
                <wp:positionV relativeFrom="paragraph">
                  <wp:posOffset>127000</wp:posOffset>
                </wp:positionV>
                <wp:extent cx="999490" cy="216535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9949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13"/>
                                <w:sz w:val="24"/>
                                <w:szCs w:val="24"/>
                              </w:rPr>
                              <w:t>Ю.К. Лебедева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466.25pt;margin-top:10.pt;width:78.700000000000003pt;height:17.050000000000001pt;z-index:-125829363;mso-wrap-distance-left:0;mso-wrap-distance-top:10.pt;mso-wrap-distance-right:0;mso-wrap-distance-bottom:29.5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13"/>
                          <w:sz w:val="24"/>
                          <w:szCs w:val="24"/>
                        </w:rPr>
                        <w:t>Ю.К. Лебедева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Лебедева Юлия Константиновна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00C93FBB7A4557EA64748F1397E15ED90B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right="0" w:firstLine="0"/>
        <w:jc w:val="left"/>
      </w:pPr>
      <w:r>
        <w:rPr>
          <w:rStyle w:val="CharStyle25"/>
        </w:rPr>
        <w:t xml:space="preserve">Действителен с 04.09.2025 </w:t>
      </w:r>
      <w:r>
        <w:rPr>
          <w:rStyle w:val="CharStyle25"/>
          <w:color w:val="5E5E5E"/>
        </w:rPr>
        <w:t xml:space="preserve">по </w:t>
      </w:r>
      <w:r>
        <w:rPr>
          <w:rStyle w:val="CharStyle25"/>
        </w:rPr>
        <w:t>28.1</w:t>
      </w:r>
      <w:r>
        <w:rPr>
          <w:rStyle w:val="CharStyle25"/>
          <w:color w:val="292929"/>
        </w:rPr>
        <w:t>1</w:t>
      </w:r>
      <w:r>
        <w:rPr>
          <w:rStyle w:val="CharStyle25"/>
        </w:rPr>
        <w:t>.2026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700"/>
        <w:jc w:val="left"/>
        <w:rPr>
          <w:sz w:val="24"/>
          <w:szCs w:val="24"/>
        </w:rPr>
      </w:pPr>
      <w:r>
        <w:drawing>
          <wp:anchor distT="0" distB="0" distL="114300" distR="1900555" simplePos="0" relativeHeight="125829392" behindDoc="0" locked="0" layoutInCell="1" allowOverlap="1">
            <wp:simplePos x="0" y="0"/>
            <wp:positionH relativeFrom="page">
              <wp:posOffset>3229610</wp:posOffset>
            </wp:positionH>
            <wp:positionV relativeFrom="paragraph">
              <wp:posOffset>63500</wp:posOffset>
            </wp:positionV>
            <wp:extent cx="359410" cy="518160"/>
            <wp:wrapSquare wrapText="right"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3689985</wp:posOffset>
                </wp:positionH>
                <wp:positionV relativeFrom="paragraph">
                  <wp:posOffset>466090</wp:posOffset>
                </wp:positionV>
                <wp:extent cx="1283335" cy="100330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2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90.55000000000001pt;margin-top:36.700000000000003pt;width:101.05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2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3649980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287.40000000000003pt;margin-top:11.700000000000001pt;width:135.59999999999999pt;height:20.40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3"/>
          <w:sz w:val="24"/>
          <w:szCs w:val="24"/>
        </w:rPr>
        <w:t>Е.А. Макарова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Макарова Екатерина Алексеевна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1793AF1D0F3D8AFF579FA0AB8EA2CBCB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4680" w:line="240" w:lineRule="auto"/>
        <w:ind w:right="0" w:firstLine="0"/>
        <w:jc w:val="left"/>
      </w:pPr>
      <w:r>
        <w:rPr>
          <w:rStyle w:val="CharStyle25"/>
        </w:rPr>
        <w:t xml:space="preserve">Действителен с 07.07.2026 </w:t>
      </w:r>
      <w:r>
        <w:rPr>
          <w:rStyle w:val="CharStyle25"/>
          <w:color w:val="5E5E5E"/>
        </w:rPr>
        <w:t xml:space="preserve">по </w:t>
      </w:r>
      <w:r>
        <w:rPr>
          <w:rStyle w:val="CharStyle25"/>
        </w:rPr>
        <w:t>30.09.2027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Исп.Макарова Е.А.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</w:pPr>
      <w:r>
        <w:rPr>
          <w:rStyle w:val="CharStyle30"/>
        </w:rPr>
        <w:t>тел.431-73-87, 052-706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6" w:right="555" w:bottom="161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885190</wp:posOffset>
              </wp:positionH>
              <wp:positionV relativeFrom="page">
                <wp:posOffset>10034270</wp:posOffset>
              </wp:positionV>
              <wp:extent cx="734695" cy="12509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469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2026-22252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69.700000000000003pt;margin-top:790.10000000000002pt;width:57.850000000000001pt;height:9.8499999999999996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2026-22252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777875</wp:posOffset>
              </wp:positionH>
              <wp:positionV relativeFrom="page">
                <wp:posOffset>10199370</wp:posOffset>
              </wp:positionV>
              <wp:extent cx="731520" cy="12827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2026-22252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61.25pt;margin-top:803.10000000000002pt;width:57.600000000000001pt;height:10.1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2026-22252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3919855</wp:posOffset>
              </wp:positionH>
              <wp:positionV relativeFrom="page">
                <wp:posOffset>793115</wp:posOffset>
              </wp:positionV>
              <wp:extent cx="73025" cy="8826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8.65000000000003pt;margin-top:62.450000000000003pt;width:5.75pt;height:6.9500000000000002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D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3">
    <w:name w:val="Body text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7">
    <w:name w:val="Table caption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9">
    <w:name w:val="Other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2">
    <w:name w:val="Picture caption_"/>
    <w:basedOn w:val="DefaultParagraphFont"/>
    <w:link w:val="Style2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5">
    <w:name w:val="Body text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character" w:customStyle="1" w:styleId="CharStyle30">
    <w:name w:val="Body text (4)_"/>
    <w:basedOn w:val="DefaultParagraphFont"/>
    <w:link w:val="Styl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D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styleId="Style12">
    <w:name w:val="Body text"/>
    <w:basedOn w:val="Normal"/>
    <w:link w:val="CharStyle13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6">
    <w:name w:val="Table caption"/>
    <w:basedOn w:val="Normal"/>
    <w:link w:val="CharStyle1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8">
    <w:name w:val="Other"/>
    <w:basedOn w:val="Normal"/>
    <w:link w:val="CharStyle19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1">
    <w:name w:val="Picture caption"/>
    <w:basedOn w:val="Normal"/>
    <w:link w:val="CharStyle22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4">
    <w:name w:val="Body text (2)"/>
    <w:basedOn w:val="Normal"/>
    <w:link w:val="CharStyle25"/>
    <w:pPr>
      <w:widowControl w:val="0"/>
      <w:shd w:val="clear" w:color="auto" w:fill="auto"/>
      <w:ind w:left="40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paragraph" w:customStyle="1" w:styleId="Style29">
    <w:name w:val="Body text (4)"/>
    <w:basedOn w:val="Normal"/>
    <w:link w:val="CharStyle30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image" Target="media/image2.png"/><Relationship Id="rId9" Type="http://schemas.openxmlformats.org/officeDocument/2006/relationships/image" Target="media/image2.png" TargetMode="External"/><Relationship Id="rId10" Type="http://schemas.openxmlformats.org/officeDocument/2006/relationships/header" Target="header1.xml"/><Relationship Id="rId11" Type="http://schemas.openxmlformats.org/officeDocument/2006/relationships/footer" Target="footer2.xml"/><Relationship Id="rId12" Type="http://schemas.openxmlformats.org/officeDocument/2006/relationships/image" Target="media/image3.jpeg"/><Relationship Id="rId13" Type="http://schemas.openxmlformats.org/officeDocument/2006/relationships/image" Target="media/image3.jpeg" TargetMode="External"/><Relationship Id="rId14" Type="http://schemas.openxmlformats.org/officeDocument/2006/relationships/image" Target="media/image4.jpeg"/><Relationship Id="rId15" Type="http://schemas.openxmlformats.org/officeDocument/2006/relationships/image" Target="media/image4.jpeg" TargetMode="External"/><Relationship Id="rId16" Type="http://schemas.openxmlformats.org/officeDocument/2006/relationships/image" Target="media/image5.jpeg"/><Relationship Id="rId17" Type="http://schemas.openxmlformats.org/officeDocument/2006/relationships/image" Target="media/image5.jpeg" TargetMode="External"/></Relationships>
</file>