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800100</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21402/26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21402/26</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both"/>
      </w:pPr>
      <w:r>
        <w:rPr>
          <w:rStyle w:val="CharStyle7"/>
        </w:rPr>
        <w:t>ГБУЗ «ГКБ имени М.П. Кончаловского</w:t>
      </w:r>
    </w:p>
    <w:p>
      <w:pPr>
        <w:pStyle w:val="Style6"/>
        <w:keepNext w:val="0"/>
        <w:keepLines w:val="0"/>
        <w:widowControl w:val="0"/>
        <w:shd w:val="clear" w:color="auto" w:fill="auto"/>
        <w:bidi w:val="0"/>
        <w:spacing w:before="0" w:after="0" w:line="211" w:lineRule="auto"/>
        <w:ind w:left="1140" w:right="0" w:firstLine="0"/>
        <w:jc w:val="both"/>
      </w:pPr>
      <w:r>
        <w:rPr>
          <w:rStyle w:val="CharStyle7"/>
        </w:rPr>
        <w:t>ДЗМ»</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"mailto:torgi-gb3@zdrav.mos.ru" </w:instrText>
      </w:r>
      <w:r>
        <w:fldChar w:fldCharType="separate"/>
      </w:r>
      <w:r>
        <w:rPr>
          <w:rStyle w:val="CharStyle7"/>
          <w:lang w:val="en-US" w:eastAsia="en-US"/>
        </w:rPr>
        <w:t>torgi-gb3@zdrav.mos.ru</w:t>
      </w:r>
      <w:r>
        <w:fldChar w:fldCharType="end"/>
      </w:r>
    </w:p>
    <w:p>
      <w:pPr>
        <w:pStyle w:val="Style6"/>
        <w:keepNext w:val="0"/>
        <w:keepLines w:val="0"/>
        <w:widowControl w:val="0"/>
        <w:shd w:val="clear" w:color="auto" w:fill="auto"/>
        <w:bidi w:val="0"/>
        <w:spacing w:before="0" w:after="0" w:line="240" w:lineRule="auto"/>
        <w:ind w:left="1140" w:right="0" w:firstLine="0"/>
        <w:jc w:val="both"/>
      </w:pPr>
      <w:r>
        <w:rPr>
          <w:rStyle w:val="CharStyle7"/>
        </w:rPr>
        <w:t>ИП Мингалимов Н.Л.</w:t>
      </w:r>
    </w:p>
    <w:p>
      <w:pPr>
        <w:pStyle w:val="Style6"/>
        <w:keepNext w:val="0"/>
        <w:keepLines w:val="0"/>
        <w:widowControl w:val="0"/>
        <w:shd w:val="clear" w:color="auto" w:fill="auto"/>
        <w:bidi w:val="0"/>
        <w:spacing w:before="0" w:after="2800" w:line="240" w:lineRule="auto"/>
        <w:ind w:left="1140" w:right="0" w:firstLine="0"/>
        <w:jc w:val="both"/>
      </w:pPr>
      <w:r>
        <w:fldChar w:fldCharType="begin"/>
      </w:r>
      <w:r>
        <w:rPr/>
        <w:instrText> HYPERLINK "mailto:Mingalimov.cardio@mail.ru" </w:instrText>
      </w:r>
      <w:r>
        <w:fldChar w:fldCharType="separate"/>
      </w:r>
      <w:r>
        <w:rPr>
          <w:rStyle w:val="CharStyle7"/>
          <w:lang w:val="en-US" w:eastAsia="en-US"/>
        </w:rPr>
        <w:t>Mingalimov.cardio@mail.ru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880"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077/06/105-6180/2026 </w:t>
      </w:r>
      <w:r>
        <w:rPr>
          <w:rStyle w:val="CharStyle7"/>
          <w:b/>
          <w:bCs/>
        </w:rPr>
        <w:t>о нарушении</w:t>
        <w:br/>
        <w:t>законодательства о контрактной системе</w:t>
        <w:br/>
      </w:r>
      <w:r>
        <w:rPr>
          <w:rStyle w:val="CharStyle7"/>
          <w:b/>
          <w:bCs/>
          <w:lang w:val="en-US" w:eastAsia="en-US"/>
        </w:rPr>
        <w:t>15.05.2026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Е.С. Переверзевой,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ГБУЗ «ГКБ имени М.П. Кончаловского ДЗМ»: Н.О. Федоренко (по дов. от </w:t>
      </w:r>
      <w:r>
        <w:rPr>
          <w:rStyle w:val="CharStyle7"/>
          <w:lang w:val="en-US" w:eastAsia="en-US"/>
        </w:rPr>
        <w:t xml:space="preserve">14.05.2026 </w:t>
      </w:r>
      <w:r>
        <w:rPr>
          <w:rStyle w:val="CharStyle7"/>
        </w:rPr>
        <w:t>№б/н),</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ИП Мингалимов Н.Л.: А.Е. Федюниной (по дов. от </w:t>
      </w:r>
      <w:r>
        <w:rPr>
          <w:rStyle w:val="CharStyle7"/>
          <w:lang w:val="en-US" w:eastAsia="en-US"/>
        </w:rPr>
        <w:t>01.08.2025 №2),</w:t>
      </w:r>
    </w:p>
    <w:p>
      <w:pPr>
        <w:pStyle w:val="Style6"/>
        <w:keepNext w:val="0"/>
        <w:keepLines w:val="0"/>
        <w:widowControl w:val="0"/>
        <w:shd w:val="clear" w:color="auto" w:fill="auto"/>
        <w:bidi w:val="0"/>
        <w:spacing w:before="0" w:after="0" w:line="240" w:lineRule="auto"/>
        <w:ind w:left="0" w:right="0" w:firstLine="700"/>
        <w:jc w:val="both"/>
      </w:pPr>
      <w:r>
        <w:drawing>
          <wp:anchor distT="266700" distB="0" distL="114300" distR="114300" simplePos="0" relativeHeight="125829381" behindDoc="0" locked="0" layoutInCell="1" allowOverlap="1">
            <wp:simplePos x="0" y="0"/>
            <wp:positionH relativeFrom="page">
              <wp:posOffset>714375</wp:posOffset>
            </wp:positionH>
            <wp:positionV relativeFrom="margin">
              <wp:posOffset>9113520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Мингалимов Н.Л. (далее </w:t>
      </w:r>
      <w:r>
        <w:rPr>
          <w:rStyle w:val="CharStyle7"/>
          <w:lang w:val="en-US" w:eastAsia="en-US"/>
        </w:rPr>
        <w:t xml:space="preserve">— </w:t>
      </w:r>
      <w:r>
        <w:rPr>
          <w:rStyle w:val="CharStyle7"/>
        </w:rPr>
        <w:t xml:space="preserve">Заявитель) на действия ГБУЗ «ГКБ имени М.П. Кончаловского ДЗМ» (далее </w:t>
      </w:r>
      <w:r>
        <w:rPr>
          <w:rStyle w:val="CharStyle7"/>
          <w:lang w:val="en-US" w:eastAsia="en-US"/>
        </w:rPr>
        <w:t xml:space="preserve">— </w:t>
      </w:r>
      <w:r>
        <w:rPr>
          <w:rStyle w:val="CharStyle7"/>
        </w:rPr>
        <w:t xml:space="preserve">Заказчик) при проведении запроса котировок в электронной форме на право заключения государственного контракта на поставку проводников для нужд ГБУЗ «ГКБ имени М.П. Кончаловского ДЗМ» (Закупка </w:t>
      </w:r>
      <w:r>
        <w:rPr>
          <w:rStyle w:val="CharStyle7"/>
          <w:lang w:val="en-US" w:eastAsia="en-US"/>
        </w:rPr>
        <w:t xml:space="preserve">№ 0373200063126000438) </w:t>
      </w:r>
      <w:r>
        <w:rPr>
          <w:rStyle w:val="CharStyle7"/>
        </w:rPr>
        <w:t xml:space="preserve">(далее </w:t>
      </w:r>
      <w:r>
        <w:rPr>
          <w:rStyle w:val="CharStyle7"/>
          <w:lang w:val="en-US" w:eastAsia="en-US"/>
        </w:rPr>
        <w:t xml:space="preserve">– </w:t>
      </w:r>
      <w:r>
        <w:rPr>
          <w:rStyle w:val="CharStyle7"/>
        </w:rPr>
        <w:t xml:space="preserve">запрос котировок)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Московское УФАС России поступила жалоба Заявителя на действия комиссии по осуществлению закупок Заказчика (далее </w:t>
      </w:r>
      <w:r>
        <w:rPr>
          <w:rStyle w:val="CharStyle7"/>
          <w:lang w:val="en-US" w:eastAsia="en-US"/>
        </w:rPr>
        <w:t xml:space="preserve">- </w:t>
      </w:r>
      <w:r>
        <w:rPr>
          <w:rStyle w:val="CharStyle7"/>
        </w:rPr>
        <w:t>комиссия Заказчика) при проведении вышеуказанного запроса котировок.</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Заявитель обжалует действия комиссии Заказчика, выразившиеся в неправомерном отклонении заявки Заявителя.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05.05.2026 </w:t>
      </w:r>
      <w:r>
        <w:rPr>
          <w:rStyle w:val="CharStyle7"/>
        </w:rPr>
        <w:t xml:space="preserve">№ИЗК1 заявка Заявителя с идентификационным номером </w:t>
      </w:r>
      <w:r>
        <w:rPr>
          <w:rStyle w:val="CharStyle7"/>
          <w:lang w:val="en-US" w:eastAsia="en-US"/>
        </w:rPr>
        <w:t xml:space="preserve">3166394 </w:t>
      </w:r>
      <w:r>
        <w:rPr>
          <w:rStyle w:val="CharStyle7"/>
        </w:rPr>
        <w:t>отклонена, в том числе, на следующем основании:</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«Отклонить заявку на участие в закупке по п.8 ч.12 ст.48 №44-ФЗ «Выявление недостоверной информации, содержащейся в заявке на участие в закупке» Участник предлагает к поставке товар по позиции </w:t>
      </w:r>
      <w:r>
        <w:rPr>
          <w:rStyle w:val="CharStyle7"/>
          <w:i/>
          <w:iCs/>
          <w:lang w:val="en-US" w:eastAsia="en-US"/>
        </w:rPr>
        <w:t xml:space="preserve">№4 </w:t>
      </w:r>
      <w:r>
        <w:rPr>
          <w:rStyle w:val="CharStyle7"/>
          <w:i/>
          <w:iCs/>
        </w:rPr>
        <w:t xml:space="preserve">Проводник для доступа к коронарным/периферическим сосудам, одноразового использования Наименование медицинского изделия в соответствии с регистрационным удостоверением: Проводник </w:t>
      </w:r>
      <w:r>
        <w:rPr>
          <w:rStyle w:val="CharStyle7"/>
          <w:i/>
          <w:iCs/>
          <w:lang w:val="en-US" w:eastAsia="en-US"/>
        </w:rPr>
        <w:t xml:space="preserve">HI-TORQUE WHISPER LS </w:t>
      </w:r>
      <w:r>
        <w:rPr>
          <w:rStyle w:val="CharStyle7"/>
          <w:i/>
          <w:iCs/>
        </w:rPr>
        <w:t xml:space="preserve">с гидрофильным покрытием, со следующей характеристикой: Жесткость кончика проводника </w:t>
      </w:r>
      <w:r>
        <w:rPr>
          <w:rStyle w:val="CharStyle7"/>
          <w:i/>
          <w:iCs/>
          <w:lang w:val="en-US" w:eastAsia="en-US"/>
        </w:rPr>
        <w:t xml:space="preserve">0.8 </w:t>
      </w:r>
      <w:r>
        <w:rPr>
          <w:rStyle w:val="CharStyle7"/>
          <w:i/>
          <w:iCs/>
        </w:rPr>
        <w:t xml:space="preserve">Грамм. РУ РЗН </w:t>
      </w:r>
      <w:r>
        <w:rPr>
          <w:rStyle w:val="CharStyle7"/>
          <w:i/>
          <w:iCs/>
          <w:lang w:val="en-US" w:eastAsia="en-US"/>
        </w:rPr>
        <w:t xml:space="preserve">2022/18438 </w:t>
      </w:r>
      <w:r>
        <w:rPr>
          <w:rStyle w:val="CharStyle7"/>
          <w:i/>
          <w:iCs/>
        </w:rPr>
        <w:t xml:space="preserve">от </w:t>
      </w:r>
      <w:r>
        <w:rPr>
          <w:rStyle w:val="CharStyle7"/>
          <w:i/>
          <w:iCs/>
          <w:lang w:val="en-US" w:eastAsia="en-US"/>
        </w:rPr>
        <w:t>20.08.2024.</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Согласно ответу организации </w:t>
      </w:r>
      <w:r>
        <w:rPr>
          <w:rStyle w:val="CharStyle7"/>
          <w:i/>
          <w:iCs/>
          <w:lang w:val="en-US" w:eastAsia="en-US"/>
        </w:rPr>
        <w:t xml:space="preserve">- </w:t>
      </w:r>
      <w:r>
        <w:rPr>
          <w:rStyle w:val="CharStyle7"/>
          <w:i/>
          <w:iCs/>
        </w:rPr>
        <w:t xml:space="preserve">уполномоченного представителя производителя (изготовителя) медицинского изделия ООО "Эбботт Лэбораториз" </w:t>
      </w:r>
      <w:r>
        <w:rPr>
          <w:rStyle w:val="CharStyle7"/>
          <w:i/>
          <w:iCs/>
          <w:lang w:val="en-US" w:eastAsia="en-US"/>
        </w:rPr>
        <w:t xml:space="preserve">(№2/04/05/2026 </w:t>
      </w:r>
      <w:r>
        <w:rPr>
          <w:rStyle w:val="CharStyle7"/>
          <w:i/>
          <w:iCs/>
        </w:rPr>
        <w:t xml:space="preserve">от </w:t>
      </w:r>
      <w:r>
        <w:rPr>
          <w:rStyle w:val="CharStyle7"/>
          <w:i/>
          <w:iCs/>
          <w:lang w:val="en-US" w:eastAsia="en-US"/>
        </w:rPr>
        <w:t xml:space="preserve">04.05.2026 </w:t>
      </w:r>
      <w:r>
        <w:rPr>
          <w:rStyle w:val="CharStyle7"/>
          <w:i/>
          <w:iCs/>
        </w:rPr>
        <w:t xml:space="preserve">г.) на запрос Заказчика </w:t>
      </w:r>
      <w:r>
        <w:rPr>
          <w:rStyle w:val="CharStyle7"/>
          <w:i/>
          <w:iCs/>
          <w:lang w:val="en-US" w:eastAsia="en-US"/>
        </w:rPr>
        <w:t xml:space="preserve">(№ </w:t>
      </w:r>
      <w:r>
        <w:rPr>
          <w:rStyle w:val="CharStyle7"/>
          <w:i/>
          <w:iCs/>
        </w:rPr>
        <w:t xml:space="preserve">б/н от </w:t>
      </w:r>
      <w:r>
        <w:rPr>
          <w:rStyle w:val="CharStyle7"/>
          <w:i/>
          <w:iCs/>
          <w:lang w:val="en-US" w:eastAsia="en-US"/>
        </w:rPr>
        <w:t xml:space="preserve">04.05.2026) </w:t>
      </w:r>
      <w:r>
        <w:rPr>
          <w:rStyle w:val="CharStyle7"/>
          <w:i/>
          <w:iCs/>
        </w:rPr>
        <w:t xml:space="preserve">жесткость кончика проводника </w:t>
      </w:r>
      <w:r>
        <w:rPr>
          <w:rStyle w:val="CharStyle7"/>
          <w:i/>
          <w:iCs/>
          <w:lang w:val="en-US" w:eastAsia="en-US"/>
        </w:rPr>
        <w:t xml:space="preserve">HT WHISPER LS </w:t>
      </w:r>
      <w:r>
        <w:rPr>
          <w:rStyle w:val="CharStyle7"/>
          <w:i/>
          <w:iCs/>
        </w:rPr>
        <w:t xml:space="preserve">составляет </w:t>
      </w:r>
      <w:r>
        <w:rPr>
          <w:rStyle w:val="CharStyle7"/>
          <w:i/>
          <w:iCs/>
          <w:lang w:val="en-US" w:eastAsia="en-US"/>
        </w:rPr>
        <w:t xml:space="preserve">1,0 </w:t>
      </w:r>
      <w:r>
        <w:rPr>
          <w:rStyle w:val="CharStyle7"/>
          <w:i/>
          <w:iCs/>
        </w:rPr>
        <w:t>г.</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Таким образом участник предоставил недостоверные сведения».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описании объекта закупки извещения Заказчиком установлены требования к закупаемым товарам, так например: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 п.4 «Проводник для доступа к коронарным/периферическим сосудам одноразового использования» позиции КТРУ </w:t>
      </w:r>
      <w:r>
        <w:rPr>
          <w:rStyle w:val="CharStyle7"/>
          <w:lang w:val="en-US" w:eastAsia="en-US"/>
        </w:rPr>
        <w:t>32.50.13.110-00005072</w:t>
      </w:r>
      <w:r>
        <w:rPr>
          <w:rStyle w:val="CharStyle7"/>
          <w:i/>
          <w:iCs/>
          <w:lang w:val="en-US" w:eastAsia="en-US"/>
        </w:rPr>
        <w:t xml:space="preserve">: </w:t>
      </w:r>
      <w:r>
        <w:rPr>
          <w:rStyle w:val="CharStyle7"/>
          <w:i/>
          <w:iCs/>
        </w:rPr>
        <w:t xml:space="preserve">«Жесткость кончика проводника: </w:t>
      </w:r>
      <w:r>
        <w:rPr>
          <w:rStyle w:val="CharStyle7"/>
          <w:i/>
          <w:iCs/>
          <w:lang w:val="en-US" w:eastAsia="en-US"/>
        </w:rPr>
        <w:t xml:space="preserve">≥ 0.8 </w:t>
      </w:r>
      <w:r>
        <w:rPr>
          <w:rStyle w:val="CharStyle7"/>
          <w:i/>
          <w:iCs/>
        </w:rPr>
        <w:t xml:space="preserve">и </w:t>
      </w:r>
      <w:r>
        <w:rPr>
          <w:rStyle w:val="CharStyle7"/>
          <w:i/>
          <w:iCs/>
          <w:lang w:val="en-US" w:eastAsia="en-US"/>
        </w:rPr>
        <w:t>≤ 1».</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50 </w:t>
      </w:r>
      <w:r>
        <w:rPr>
          <w:rStyle w:val="CharStyle7"/>
        </w:rPr>
        <w:t xml:space="preserve">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 «а» </w:t>
      </w:r>
      <w:r>
        <w:rPr>
          <w:rStyle w:val="CharStyle7"/>
          <w:lang w:val="en-US" w:eastAsia="en-US"/>
        </w:rPr>
        <w:t xml:space="preserve">- </w:t>
      </w:r>
      <w:r>
        <w:rPr>
          <w:rStyle w:val="CharStyle7"/>
        </w:rPr>
        <w:t xml:space="preserve">«в» п. </w:t>
      </w:r>
      <w:r>
        <w:rPr>
          <w:rStyle w:val="CharStyle7"/>
          <w:lang w:val="en-US" w:eastAsia="en-US"/>
        </w:rPr>
        <w:t xml:space="preserve">2, </w:t>
      </w:r>
      <w:r>
        <w:rPr>
          <w:rStyle w:val="CharStyle7"/>
        </w:rPr>
        <w:t xml:space="preserve">п. </w:t>
      </w:r>
      <w:r>
        <w:rPr>
          <w:rStyle w:val="CharStyle7"/>
          <w:lang w:val="en-US" w:eastAsia="en-US"/>
        </w:rPr>
        <w:t xml:space="preserve">3 </w:t>
      </w:r>
      <w:r>
        <w:rPr>
          <w:rStyle w:val="CharStyle7"/>
        </w:rPr>
        <w:t xml:space="preserve">или п. </w:t>
      </w:r>
      <w:r>
        <w:rPr>
          <w:rStyle w:val="CharStyle7"/>
          <w:lang w:val="en-US" w:eastAsia="en-US"/>
        </w:rPr>
        <w:t xml:space="preserve">4, </w:t>
      </w:r>
      <w:r>
        <w:rPr>
          <w:rStyle w:val="CharStyle7"/>
        </w:rPr>
        <w:t xml:space="preserve">п.5 ч.1 ст. </w:t>
      </w:r>
      <w:r>
        <w:rPr>
          <w:rStyle w:val="CharStyle7"/>
          <w:lang w:val="en-US" w:eastAsia="en-US"/>
        </w:rPr>
        <w:t xml:space="preserve">43 </w:t>
      </w:r>
      <w:r>
        <w:rPr>
          <w:rStyle w:val="CharStyle7"/>
        </w:rPr>
        <w:t xml:space="preserve">Закона о контрактной системе. Заявка также может содержать информацию и документы, предусмотренные пп. «д» п. </w:t>
      </w:r>
      <w:r>
        <w:rPr>
          <w:rStyle w:val="CharStyle7"/>
          <w:lang w:val="en-US" w:eastAsia="en-US"/>
        </w:rPr>
        <w:t xml:space="preserve">2 </w:t>
      </w:r>
      <w:r>
        <w:rPr>
          <w:rStyle w:val="CharStyle7"/>
        </w:rPr>
        <w:t>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rStyle w:val="CharStyle7"/>
        </w:rPr>
        <w:t xml:space="preserve">с учетом положений ч. </w:t>
      </w:r>
      <w:r>
        <w:rPr>
          <w:rStyle w:val="CharStyle7"/>
          <w:lang w:val="en-US" w:eastAsia="en-US"/>
        </w:rPr>
        <w:t xml:space="preserve">2 </w:t>
      </w:r>
      <w:r>
        <w:rPr>
          <w:rStyle w:val="CharStyle7"/>
        </w:rPr>
        <w:t xml:space="preserve">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7"/>
          <w:lang w:val="en-US" w:eastAsia="en-US"/>
        </w:rPr>
        <w:t xml:space="preserve">2 </w:t>
      </w:r>
      <w:r>
        <w:rPr>
          <w:rStyle w:val="CharStyle7"/>
        </w:rPr>
        <w:t xml:space="preserve">ст. </w:t>
      </w:r>
      <w:r>
        <w:rPr>
          <w:rStyle w:val="CharStyle7"/>
          <w:lang w:val="en-US" w:eastAsia="en-US"/>
        </w:rPr>
        <w:t xml:space="preserve">33 </w:t>
      </w:r>
      <w:r>
        <w:rPr>
          <w:rStyle w:val="CharStyle7"/>
        </w:rPr>
        <w:t>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057" w:val="left"/>
        </w:tabs>
        <w:bidi w:val="0"/>
        <w:spacing w:before="0" w:after="0" w:line="240" w:lineRule="auto"/>
        <w:ind w:left="0" w:right="0" w:firstLine="700"/>
        <w:jc w:val="both"/>
      </w:pPr>
      <w:r>
        <w:rPr>
          <w:rStyle w:val="CharStyle7"/>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numPr>
          <w:ilvl w:val="0"/>
          <w:numId w:val="1"/>
        </w:numPr>
        <w:shd w:val="clear" w:color="auto" w:fill="auto"/>
        <w:tabs>
          <w:tab w:pos="1047" w:val="left"/>
        </w:tabs>
        <w:bidi w:val="0"/>
        <w:spacing w:before="0" w:after="0" w:line="240" w:lineRule="auto"/>
        <w:ind w:left="0" w:right="0" w:firstLine="700"/>
        <w:jc w:val="both"/>
      </w:pPr>
      <w:r>
        <w:rPr>
          <w:rStyle w:val="CharStyle7"/>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028" w:val="left"/>
        </w:tabs>
        <w:bidi w:val="0"/>
        <w:spacing w:before="0" w:after="0" w:line="240" w:lineRule="auto"/>
        <w:ind w:left="0" w:right="0" w:firstLine="700"/>
        <w:jc w:val="both"/>
      </w:pPr>
      <w:r>
        <w:rPr>
          <w:rStyle w:val="CharStyle7"/>
        </w:rPr>
        <w:t xml:space="preserve">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 xml:space="preserve">Закона о контрактной системе предложение по критериям, предусмотренным п. </w:t>
      </w:r>
      <w:r>
        <w:rPr>
          <w:rStyle w:val="CharStyle7"/>
          <w:lang w:val="en-US" w:eastAsia="en-US"/>
        </w:rPr>
        <w:t xml:space="preserve">2 </w:t>
      </w:r>
      <w:r>
        <w:rPr>
          <w:rStyle w:val="CharStyle7"/>
        </w:rPr>
        <w:t xml:space="preserve">и (или) </w:t>
      </w:r>
      <w:r>
        <w:rPr>
          <w:rStyle w:val="CharStyle7"/>
          <w:lang w:val="en-US" w:eastAsia="en-US"/>
        </w:rPr>
        <w:t xml:space="preserve">3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32 </w:t>
      </w:r>
      <w:r>
        <w:rPr>
          <w:rStyle w:val="CharStyle7"/>
        </w:rPr>
        <w:t>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057" w:val="left"/>
        </w:tabs>
        <w:bidi w:val="0"/>
        <w:spacing w:before="0" w:after="0" w:line="240" w:lineRule="auto"/>
        <w:ind w:left="0" w:right="0" w:firstLine="700"/>
        <w:jc w:val="both"/>
      </w:pPr>
      <w:r>
        <w:rPr>
          <w:rStyle w:val="CharStyle7"/>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Заявитель в составе заявки конклюдентно согласился поставить товары на условиях извещения об осуществлении закупки, а также предоставил сведения о предложенных к поставке</w:t>
      </w:r>
    </w:p>
    <w:p>
      <w:pPr>
        <w:pStyle w:val="Style6"/>
        <w:keepNext w:val="0"/>
        <w:keepLines w:val="0"/>
        <w:widowControl w:val="0"/>
        <w:shd w:val="clear" w:color="auto" w:fill="auto"/>
        <w:bidi w:val="0"/>
        <w:spacing w:before="0" w:after="0" w:line="240" w:lineRule="auto"/>
        <w:ind w:left="0" w:right="0" w:firstLine="0"/>
        <w:jc w:val="both"/>
      </w:pPr>
      <w:r>
        <w:rPr>
          <w:rStyle w:val="CharStyle7"/>
        </w:rPr>
        <w:t>товарах, в частности по п.4 представлена информация:</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«Наименование товара, работы, услуги: Проводник для доступа к коронарным/периферическим сосудам, одноразового использования</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По данному объекту закупки в извещении установлено преимущество по ПП </w:t>
      </w:r>
      <w:r>
        <w:rPr>
          <w:rStyle w:val="CharStyle7"/>
          <w:i/>
          <w:iCs/>
          <w:lang w:val="en-US" w:eastAsia="en-US"/>
        </w:rPr>
        <w:t>№1875</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Количество: (Штука)</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Товарный знак: </w:t>
      </w:r>
      <w:r>
        <w:rPr>
          <w:rStyle w:val="CharStyle7"/>
          <w:i/>
          <w:iCs/>
          <w:lang w:val="en-US" w:eastAsia="en-US"/>
        </w:rPr>
        <w:t>Abbott</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Основной вариант поставки: Да</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Страна происхождения: Соединенные Штаты Америки</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Ставка НДС: Без НДС</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Наименование медицинского изделия в соответствии с регистрационным удостоверением: Проводник </w:t>
      </w:r>
      <w:r>
        <w:rPr>
          <w:rStyle w:val="CharStyle7"/>
          <w:i/>
          <w:iCs/>
          <w:lang w:val="en-US" w:eastAsia="en-US"/>
        </w:rPr>
        <w:t xml:space="preserve">HI-TORQUE WHISPER LS </w:t>
      </w:r>
      <w:r>
        <w:rPr>
          <w:rStyle w:val="CharStyle7"/>
          <w:i/>
          <w:iCs/>
        </w:rPr>
        <w:t>с гидрофильным покрытием</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Регистрационный номер медицинского изделия: Не заполнено</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Дата регистрации: Не заполнено</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Срок действия РУ: </w:t>
      </w:r>
      <w:r>
        <w:rPr>
          <w:rStyle w:val="CharStyle7"/>
          <w:i/>
          <w:iCs/>
          <w:lang w:val="en-US" w:eastAsia="en-US"/>
        </w:rPr>
        <w:t>»;</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«Жесткость кончика проводника: </w:t>
      </w:r>
      <w:r>
        <w:rPr>
          <w:rStyle w:val="CharStyle7"/>
          <w:i/>
          <w:iCs/>
          <w:lang w:val="en-US" w:eastAsia="en-US"/>
        </w:rPr>
        <w:t>0.8».</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При этом, Комиссией Кправления также установлено, что в составе заявки Заявителя представлена Выписка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по состоянию на </w:t>
      </w:r>
      <w:r>
        <w:rPr>
          <w:rStyle w:val="CharStyle7"/>
          <w:lang w:val="en-US" w:eastAsia="en-US"/>
        </w:rPr>
        <w:t xml:space="preserve">14:09 29.04.2026 </w:t>
      </w:r>
      <w:r>
        <w:rPr>
          <w:rStyle w:val="CharStyle7"/>
        </w:rPr>
        <w:t xml:space="preserve">г. на регистрационное удостоверение РЗН </w:t>
      </w:r>
      <w:r>
        <w:rPr>
          <w:rStyle w:val="CharStyle7"/>
          <w:lang w:val="en-US" w:eastAsia="en-US"/>
        </w:rPr>
        <w:t xml:space="preserve">2022/18438 </w:t>
      </w:r>
      <w:r>
        <w:rPr>
          <w:rStyle w:val="CharStyle7"/>
        </w:rPr>
        <w:t xml:space="preserve">от </w:t>
      </w:r>
      <w:r>
        <w:rPr>
          <w:rStyle w:val="CharStyle7"/>
          <w:lang w:val="en-US" w:eastAsia="en-US"/>
        </w:rPr>
        <w:t xml:space="preserve">20.08.2024 </w:t>
      </w:r>
      <w:r>
        <w:rPr>
          <w:rStyle w:val="CharStyle7"/>
        </w:rPr>
        <w:t xml:space="preserve">«Проводник </w:t>
      </w:r>
      <w:r>
        <w:rPr>
          <w:rStyle w:val="CharStyle7"/>
          <w:lang w:val="en-US" w:eastAsia="en-US"/>
        </w:rPr>
        <w:t xml:space="preserve">HI- ТОRQUE», </w:t>
      </w:r>
      <w:r>
        <w:rPr>
          <w:rStyle w:val="CharStyle7"/>
        </w:rPr>
        <w:t>производителя ООО «Эбботт Лэбораториз», Россия.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 на заседании Комиссии Управления представитель Заявителя пояснил, что отклонение заявки Заказчиком по основанию п.8 ч.12 ст.48 Закона о контрактной системе является неправомерным, поскольку участник закупки представил документальное подтверждение характеристик товара </w:t>
      </w:r>
      <w:r>
        <w:rPr>
          <w:rStyle w:val="CharStyle7"/>
          <w:lang w:val="en-US" w:eastAsia="en-US"/>
        </w:rPr>
        <w:t xml:space="preserve">— </w:t>
      </w:r>
      <w:r>
        <w:rPr>
          <w:rStyle w:val="CharStyle7"/>
        </w:rPr>
        <w:t xml:space="preserve">письмо уполномоченного представителя производителя ООО «Эбботт Лэбораториз» прямо указывающее значение жесткости кончика проводника </w:t>
      </w:r>
      <w:r>
        <w:rPr>
          <w:rStyle w:val="CharStyle7"/>
          <w:lang w:val="en-US" w:eastAsia="en-US"/>
        </w:rPr>
        <w:t xml:space="preserve">HI-TORQUE WHISPER LS, </w:t>
      </w:r>
      <w:r>
        <w:rPr>
          <w:rStyle w:val="CharStyle7"/>
        </w:rPr>
        <w:t>а именно 0,8г.</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На заседании Комиссии Управления представитель Заказчика пояснил, что в качестве подтверждающих документов по оспариваемой позиции Заявитель приложил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с Регистрационным номером медицинского изделия: РЗН </w:t>
      </w:r>
      <w:r>
        <w:rPr>
          <w:rStyle w:val="CharStyle7"/>
          <w:lang w:val="en-US" w:eastAsia="en-US"/>
        </w:rPr>
        <w:t xml:space="preserve">2022/18438 </w:t>
      </w:r>
      <w:r>
        <w:rPr>
          <w:rStyle w:val="CharStyle7"/>
        </w:rPr>
        <w:t xml:space="preserve">(ЕРУЛ </w:t>
      </w:r>
      <w:r>
        <w:rPr>
          <w:rStyle w:val="CharStyle7"/>
          <w:lang w:val="en-US" w:eastAsia="en-US"/>
        </w:rPr>
        <w:t xml:space="preserve">- </w:t>
      </w:r>
      <w:r>
        <w:rPr>
          <w:rStyle w:val="CharStyle7"/>
        </w:rPr>
        <w:t xml:space="preserve">Г004-00110- </w:t>
      </w:r>
      <w:r>
        <w:rPr>
          <w:rStyle w:val="CharStyle7"/>
          <w:lang w:val="en-US" w:eastAsia="en-US"/>
        </w:rPr>
        <w:t xml:space="preserve">00/02941128), </w:t>
      </w:r>
      <w:r>
        <w:rPr>
          <w:rStyle w:val="CharStyle7"/>
        </w:rPr>
        <w:t xml:space="preserve">период действия версии с </w:t>
      </w:r>
      <w:r>
        <w:rPr>
          <w:rStyle w:val="CharStyle7"/>
          <w:lang w:val="en-US" w:eastAsia="en-US"/>
        </w:rPr>
        <w:t>20.08.2024.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При этом в качестве подтверждения своей позиции Заявитель ссылается на письмо производителя от </w:t>
      </w:r>
      <w:r>
        <w:rPr>
          <w:rStyle w:val="CharStyle7"/>
          <w:lang w:val="en-US" w:eastAsia="en-US"/>
        </w:rPr>
        <w:t xml:space="preserve">13.04.2021, </w:t>
      </w:r>
      <w:r>
        <w:rPr>
          <w:rStyle w:val="CharStyle7"/>
        </w:rPr>
        <w:t xml:space="preserve">в котором указано иное регистрационное удостоверение №РЗН </w:t>
      </w:r>
      <w:r>
        <w:rPr>
          <w:rStyle w:val="CharStyle7"/>
          <w:lang w:val="en-US" w:eastAsia="en-US"/>
        </w:rPr>
        <w:t xml:space="preserve">2015/2925, </w:t>
      </w:r>
      <w:r>
        <w:rPr>
          <w:rStyle w:val="CharStyle7"/>
        </w:rPr>
        <w:t>производителя «Эбботт Васкуляр».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представителем Заказчика получено письмо </w:t>
      </w:r>
      <w:r>
        <w:rPr>
          <w:rStyle w:val="CharStyle7"/>
          <w:lang w:val="en-US" w:eastAsia="en-US"/>
        </w:rPr>
        <w:t xml:space="preserve">№2/04/05/2026 </w:t>
      </w:r>
      <w:r>
        <w:rPr>
          <w:rStyle w:val="CharStyle7"/>
        </w:rPr>
        <w:t xml:space="preserve">от </w:t>
      </w:r>
      <w:r>
        <w:rPr>
          <w:rStyle w:val="CharStyle7"/>
          <w:lang w:val="en-US" w:eastAsia="en-US"/>
        </w:rPr>
        <w:t xml:space="preserve">04.05.2026 </w:t>
      </w:r>
      <w:r>
        <w:rPr>
          <w:rStyle w:val="CharStyle7"/>
        </w:rPr>
        <w:t xml:space="preserve">от уполномоченного представителя производителя ООО «Эбботт Лэбораториз», согласно которому модель </w:t>
      </w:r>
      <w:r>
        <w:rPr>
          <w:rStyle w:val="CharStyle7"/>
          <w:lang w:val="en-US" w:eastAsia="en-US"/>
        </w:rPr>
        <w:t xml:space="preserve">HI-TORQUE WHISPER LS </w:t>
      </w:r>
      <w:r>
        <w:rPr>
          <w:rStyle w:val="CharStyle7"/>
        </w:rPr>
        <w:t xml:space="preserve">имеет жесткость кончика проводника </w:t>
      </w:r>
      <w:r>
        <w:rPr>
          <w:rStyle w:val="CharStyle7"/>
          <w:lang w:val="en-US" w:eastAsia="en-US"/>
        </w:rPr>
        <w:t xml:space="preserve">1,0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свою очередь, 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ч.1 ст.38 Федерального закона от </w:t>
      </w:r>
      <w:r>
        <w:rPr>
          <w:rStyle w:val="CharStyle7"/>
          <w:lang w:val="en-US" w:eastAsia="en-US"/>
        </w:rPr>
        <w:t xml:space="preserve">21.11.2011 № </w:t>
      </w:r>
      <w:r>
        <w:rPr>
          <w:rStyle w:val="CharStyle7"/>
        </w:rPr>
        <w:t xml:space="preserve">323-ФЗ «Об основах охраны здоровья граждан в Российской Федерации» (далее </w:t>
      </w:r>
      <w:r>
        <w:rPr>
          <w:rStyle w:val="CharStyle7"/>
          <w:lang w:val="en-US" w:eastAsia="en-US"/>
        </w:rPr>
        <w:t xml:space="preserve">— </w:t>
      </w:r>
      <w:r>
        <w:rPr>
          <w:rStyle w:val="CharStyle7"/>
        </w:rPr>
        <w:t>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ст.38 Закона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ч.4 ст.38 Закона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30.11.2024 №1684 </w:t>
      </w:r>
      <w:r>
        <w:rPr>
          <w:rStyle w:val="CharStyle7"/>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7"/>
          <w:lang w:val="en-US" w:eastAsia="en-US"/>
        </w:rPr>
        <w:t xml:space="preserve">- </w:t>
      </w:r>
      <w:r>
        <w:rPr>
          <w:rStyle w:val="CharStyle7"/>
        </w:rPr>
        <w:t>реестровая запись).</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п.2 Постановления </w:t>
      </w:r>
      <w:r>
        <w:rPr>
          <w:rStyle w:val="CharStyle7"/>
          <w:lang w:val="en-US" w:eastAsia="en-US"/>
        </w:rPr>
        <w:t xml:space="preserve">№1684 </w:t>
      </w:r>
      <w:r>
        <w:rPr>
          <w:rStyle w:val="CharStyle7"/>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7"/>
          <w:lang w:val="en-US" w:eastAsia="en-US"/>
        </w:rPr>
        <w:t xml:space="preserve">№1684 </w:t>
      </w:r>
      <w:r>
        <w:rPr>
          <w:rStyle w:val="CharStyle7"/>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27.12.2012 № 1416 </w:t>
      </w:r>
      <w:r>
        <w:rPr>
          <w:rStyle w:val="CharStyle7"/>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7"/>
          <w:lang w:val="en-US" w:eastAsia="en-US"/>
        </w:rPr>
        <w:t xml:space="preserve">— </w:t>
      </w:r>
      <w:r>
        <w:rPr>
          <w:rStyle w:val="CharStyle7"/>
        </w:rPr>
        <w:t xml:space="preserve">Правила от </w:t>
      </w:r>
      <w:r>
        <w:rPr>
          <w:rStyle w:val="CharStyle7"/>
          <w:lang w:val="en-US" w:eastAsia="en-US"/>
        </w:rPr>
        <w:t xml:space="preserve">27.12.2012), </w:t>
      </w:r>
      <w:r>
        <w:rPr>
          <w:rStyle w:val="CharStyle7"/>
        </w:rPr>
        <w:t xml:space="preserve">действующие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П.4 Правил от </w:t>
      </w:r>
      <w:r>
        <w:rPr>
          <w:rStyle w:val="CharStyle7"/>
          <w:lang w:val="en-US" w:eastAsia="en-US"/>
        </w:rPr>
        <w:t xml:space="preserve">27.12.2012 </w:t>
      </w:r>
      <w:r>
        <w:rPr>
          <w:rStyle w:val="CharStyle7"/>
        </w:rPr>
        <w:t xml:space="preserve">в том числе определено, что эксплуатационная документация производителя (изготовителя) </w:t>
      </w:r>
      <w:r>
        <w:rPr>
          <w:rStyle w:val="CharStyle7"/>
          <w:lang w:val="en-US" w:eastAsia="en-US"/>
        </w:rPr>
        <w:t xml:space="preserve">— </w:t>
      </w:r>
      <w:r>
        <w:rPr>
          <w:rStyle w:val="CharStyle7"/>
        </w:rPr>
        <w:t>это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П.5 Правил от </w:t>
      </w:r>
      <w:r>
        <w:rPr>
          <w:rStyle w:val="CharStyle7"/>
          <w:lang w:val="en-US" w:eastAsia="en-US"/>
        </w:rPr>
        <w:t xml:space="preserve">27.12.2012 </w:t>
      </w:r>
      <w:r>
        <w:rPr>
          <w:rStyle w:val="CharStyle7"/>
        </w:rPr>
        <w:t>в том числе определено, что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П.6 Правил от </w:t>
      </w:r>
      <w:r>
        <w:rPr>
          <w:rStyle w:val="CharStyle7"/>
          <w:lang w:val="en-US" w:eastAsia="en-US"/>
        </w:rPr>
        <w:t xml:space="preserve">27.12.2012 </w:t>
      </w:r>
      <w:r>
        <w:rPr>
          <w:rStyle w:val="CharStyle7"/>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пп.«а» п.23 Правил от </w:t>
      </w:r>
      <w:r>
        <w:rPr>
          <w:rStyle w:val="CharStyle7"/>
          <w:lang w:val="en-US" w:eastAsia="en-US"/>
        </w:rPr>
        <w:t xml:space="preserve">27.12.2012 </w:t>
      </w:r>
      <w:r>
        <w:rPr>
          <w:rStyle w:val="CharStyle7"/>
        </w:rPr>
        <w:t>установлено, что основанием для вынесения экспертным учреждением заключения о невозможности проведения клинических испытаний медицинского изделия или невозможности государственной регистрации медицинского изделия является несоответствие медицинского изделия требованиям нормативной документации, технической и (или) эксплуатационной документации производителя (изготовителя).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Как следует из пп. «а» п. </w:t>
      </w:r>
      <w:r>
        <w:rPr>
          <w:rStyle w:val="CharStyle7"/>
          <w:lang w:val="en-US" w:eastAsia="en-US"/>
        </w:rPr>
        <w:t xml:space="preserve">54 </w:t>
      </w:r>
      <w:r>
        <w:rPr>
          <w:rStyle w:val="CharStyle7"/>
        </w:rPr>
        <w:t xml:space="preserve">Правил от </w:t>
      </w:r>
      <w:r>
        <w:rPr>
          <w:rStyle w:val="CharStyle7"/>
          <w:lang w:val="en-US" w:eastAsia="en-US"/>
        </w:rPr>
        <w:t xml:space="preserve">27.12.2012 </w:t>
      </w:r>
      <w:r>
        <w:rPr>
          <w:rStyle w:val="CharStyle7"/>
        </w:rPr>
        <w:t>регистрирующий орган формирует регистрационное досье, которое включает в себя документы предусмотренные п.10 Правил.</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6"/>
        <w:keepNext w:val="0"/>
        <w:keepLines w:val="0"/>
        <w:widowControl w:val="0"/>
        <w:numPr>
          <w:ilvl w:val="0"/>
          <w:numId w:val="3"/>
        </w:numPr>
        <w:shd w:val="clear" w:color="auto" w:fill="auto"/>
        <w:tabs>
          <w:tab w:pos="1090" w:val="left"/>
        </w:tabs>
        <w:bidi w:val="0"/>
        <w:spacing w:before="0" w:after="0" w:line="240" w:lineRule="auto"/>
        <w:ind w:left="0" w:right="0" w:firstLine="700"/>
        <w:jc w:val="both"/>
      </w:pPr>
      <w:r>
        <w:rPr>
          <w:rStyle w:val="CharStyle7"/>
        </w:rPr>
        <w:t>наименование медицинского изделия;</w:t>
      </w:r>
    </w:p>
    <w:p>
      <w:pPr>
        <w:pStyle w:val="Style6"/>
        <w:keepNext w:val="0"/>
        <w:keepLines w:val="0"/>
        <w:widowControl w:val="0"/>
        <w:numPr>
          <w:ilvl w:val="0"/>
          <w:numId w:val="3"/>
        </w:numPr>
        <w:shd w:val="clear" w:color="auto" w:fill="auto"/>
        <w:tabs>
          <w:tab w:pos="1214" w:val="left"/>
        </w:tabs>
        <w:bidi w:val="0"/>
        <w:spacing w:before="0" w:after="0" w:line="240" w:lineRule="auto"/>
        <w:ind w:left="0" w:right="0" w:firstLine="700"/>
        <w:jc w:val="both"/>
      </w:pPr>
      <w:r>
        <w:rPr>
          <w:rStyle w:val="CharStyle7"/>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6"/>
        <w:keepNext w:val="0"/>
        <w:keepLines w:val="0"/>
        <w:widowControl w:val="0"/>
        <w:numPr>
          <w:ilvl w:val="0"/>
          <w:numId w:val="3"/>
        </w:numPr>
        <w:shd w:val="clear" w:color="auto" w:fill="auto"/>
        <w:tabs>
          <w:tab w:pos="1099" w:val="left"/>
        </w:tabs>
        <w:bidi w:val="0"/>
        <w:spacing w:before="0" w:after="0" w:line="240" w:lineRule="auto"/>
        <w:ind w:left="0" w:right="0" w:firstLine="700"/>
        <w:jc w:val="both"/>
      </w:pPr>
      <w:r>
        <w:rPr>
          <w:rStyle w:val="CharStyle7"/>
        </w:rPr>
        <w:t>назначение медицинского изделия, установленное производителем;</w:t>
      </w:r>
    </w:p>
    <w:p>
      <w:pPr>
        <w:pStyle w:val="Style6"/>
        <w:keepNext w:val="0"/>
        <w:keepLines w:val="0"/>
        <w:widowControl w:val="0"/>
        <w:numPr>
          <w:ilvl w:val="0"/>
          <w:numId w:val="3"/>
        </w:numPr>
        <w:shd w:val="clear" w:color="auto" w:fill="auto"/>
        <w:tabs>
          <w:tab w:pos="1090" w:val="left"/>
        </w:tabs>
        <w:bidi w:val="0"/>
        <w:spacing w:before="0" w:after="0" w:line="240" w:lineRule="auto"/>
        <w:ind w:left="0" w:right="0" w:firstLine="700"/>
        <w:jc w:val="both"/>
      </w:pPr>
      <w:r>
        <w:rPr>
          <w:rStyle w:val="CharStyle7"/>
        </w:rPr>
        <w:t>вид медицинского изделия;</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класс потенциального риска применения медицинского изделия;</w:t>
      </w:r>
    </w:p>
    <w:p>
      <w:pPr>
        <w:pStyle w:val="Style6"/>
        <w:keepNext w:val="0"/>
        <w:keepLines w:val="0"/>
        <w:widowControl w:val="0"/>
        <w:numPr>
          <w:ilvl w:val="0"/>
          <w:numId w:val="3"/>
        </w:numPr>
        <w:shd w:val="clear" w:color="auto" w:fill="auto"/>
        <w:tabs>
          <w:tab w:pos="1076" w:val="left"/>
        </w:tabs>
        <w:bidi w:val="0"/>
        <w:spacing w:before="0" w:after="0" w:line="240"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24" w:right="534" w:bottom="1158" w:left="1089" w:header="0" w:footer="3" w:gutter="0"/>
          <w:pgNumType w:start="1"/>
          <w:cols w:space="720"/>
          <w:noEndnote/>
          <w:titlePg/>
          <w:rtlGutter w:val="0"/>
          <w:docGrid w:linePitch="360"/>
        </w:sectPr>
      </w:pPr>
      <w:r>
        <w:rPr>
          <w:rStyle w:val="CharStyle7"/>
        </w:rPr>
        <w:t>код Общероссийского классификатора продукции по видам экономической деятельности;</w:t>
      </w:r>
    </w:p>
    <w:p>
      <w:pPr>
        <w:pStyle w:val="Style6"/>
        <w:keepNext w:val="0"/>
        <w:keepLines w:val="0"/>
        <w:widowControl w:val="0"/>
        <w:numPr>
          <w:ilvl w:val="0"/>
          <w:numId w:val="3"/>
        </w:numPr>
        <w:shd w:val="clear" w:color="auto" w:fill="auto"/>
        <w:tabs>
          <w:tab w:pos="1052" w:val="left"/>
        </w:tabs>
        <w:bidi w:val="0"/>
        <w:spacing w:before="0" w:after="0" w:line="240" w:lineRule="auto"/>
        <w:ind w:left="0" w:right="0" w:firstLine="700"/>
        <w:jc w:val="both"/>
      </w:pPr>
      <w:r>
        <w:rPr>
          <w:rStyle w:val="CharStyle7"/>
        </w:rPr>
        <w:t xml:space="preserve">наименование и место нахождения юридического лица </w:t>
      </w:r>
      <w:r>
        <w:rPr>
          <w:rStyle w:val="CharStyle7"/>
          <w:lang w:val="en-US" w:eastAsia="en-US"/>
        </w:rPr>
        <w:t xml:space="preserve">- </w:t>
      </w:r>
      <w:r>
        <w:rPr>
          <w:rStyle w:val="CharStyle7"/>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уполномоченного представителя производителя (изготовителя) медицинского изделия;</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rStyle w:val="CharStyle7"/>
        </w:rPr>
        <w:t xml:space="preserve">наименование и место нахождения организации </w:t>
      </w:r>
      <w:r>
        <w:rPr>
          <w:rStyle w:val="CharStyle7"/>
          <w:lang w:val="en-US" w:eastAsia="en-US"/>
        </w:rPr>
        <w:t xml:space="preserve">- </w:t>
      </w:r>
      <w:r>
        <w:rPr>
          <w:rStyle w:val="CharStyle7"/>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производителя (изготовителя) медицинского изделия;</w:t>
      </w:r>
    </w:p>
    <w:p>
      <w:pPr>
        <w:pStyle w:val="Style6"/>
        <w:keepNext w:val="0"/>
        <w:keepLines w:val="0"/>
        <w:widowControl w:val="0"/>
        <w:numPr>
          <w:ilvl w:val="0"/>
          <w:numId w:val="3"/>
        </w:numPr>
        <w:shd w:val="clear" w:color="auto" w:fill="auto"/>
        <w:tabs>
          <w:tab w:pos="1072" w:val="left"/>
        </w:tabs>
        <w:bidi w:val="0"/>
        <w:spacing w:before="0" w:after="0" w:line="240" w:lineRule="auto"/>
        <w:ind w:left="0" w:right="0" w:firstLine="700"/>
        <w:jc w:val="both"/>
      </w:pPr>
      <w:r>
        <w:rPr>
          <w:rStyle w:val="CharStyle7"/>
        </w:rPr>
        <w:t>адрес места производства или изготовления медицинского изделия;</w:t>
      </w:r>
    </w:p>
    <w:p>
      <w:pPr>
        <w:pStyle w:val="Style6"/>
        <w:keepNext w:val="0"/>
        <w:keepLines w:val="0"/>
        <w:widowControl w:val="0"/>
        <w:numPr>
          <w:ilvl w:val="0"/>
          <w:numId w:val="3"/>
        </w:numPr>
        <w:shd w:val="clear" w:color="auto" w:fill="auto"/>
        <w:tabs>
          <w:tab w:pos="1214" w:val="left"/>
        </w:tabs>
        <w:bidi w:val="0"/>
        <w:spacing w:before="0" w:after="0" w:line="240" w:lineRule="auto"/>
        <w:ind w:left="0" w:right="0" w:firstLine="700"/>
        <w:jc w:val="both"/>
      </w:pPr>
      <w:r>
        <w:rPr>
          <w:rStyle w:val="CharStyle7"/>
        </w:rPr>
        <w:t>сведения о взаимозаменяемых медицинских изделиях;</w:t>
      </w:r>
    </w:p>
    <w:p>
      <w:pPr>
        <w:pStyle w:val="Style6"/>
        <w:keepNext w:val="0"/>
        <w:keepLines w:val="0"/>
        <w:widowControl w:val="0"/>
        <w:numPr>
          <w:ilvl w:val="0"/>
          <w:numId w:val="3"/>
        </w:numPr>
        <w:shd w:val="clear" w:color="auto" w:fill="auto"/>
        <w:tabs>
          <w:tab w:pos="1205" w:val="left"/>
        </w:tabs>
        <w:bidi w:val="0"/>
        <w:spacing w:before="0" w:after="0" w:line="240" w:lineRule="auto"/>
        <w:ind w:left="0" w:right="0" w:firstLine="700"/>
        <w:jc w:val="both"/>
      </w:pPr>
      <w:r>
        <w:rPr>
          <w:rStyle w:val="CharStyle7"/>
        </w:rPr>
        <w:t>иные сведения, определяемые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пп.«н»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п.1 постановления Правительства РФ от </w:t>
      </w:r>
      <w:r>
        <w:rPr>
          <w:rStyle w:val="CharStyle7"/>
          <w:lang w:val="en-US" w:eastAsia="en-US"/>
        </w:rPr>
        <w:t xml:space="preserve">30.09.2021 №1650 </w:t>
      </w:r>
      <w:r>
        <w:rPr>
          <w:rStyle w:val="CharStyle7"/>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ч.1,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ст.15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Правила ведения реестра медицинских изделий) Реестр медицинских изделий содержит электронный образ эксплуатационной документации производителя (изготовителя) на медицинское изделие.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изложенного Комиссия Управления считает, что информация размещенная на сайте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 следовательно, зарегистрированные медицинские изделия, в полной мере соответствуют, в том числе эксплуатационной документации производителя (изготовителя).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при рассмотрении заявок участников закупки комиссия по осуществлению закупок должна руководствоваться, в том числе, сведениями размещенными на сайте Росздравнадзора, которые являются открытыми и доступны без каких-либо ограничений.</w:t>
      </w:r>
    </w:p>
    <w:p>
      <w:pPr>
        <w:pStyle w:val="Style6"/>
        <w:keepNext w:val="0"/>
        <w:keepLines w:val="0"/>
        <w:widowControl w:val="0"/>
        <w:shd w:val="clear" w:color="auto" w:fill="auto"/>
        <w:bidi w:val="0"/>
        <w:spacing w:before="0" w:after="0" w:line="276" w:lineRule="auto"/>
        <w:ind w:left="0" w:right="0" w:firstLine="700"/>
        <w:jc w:val="both"/>
        <w:rPr>
          <w:sz w:val="24"/>
          <w:szCs w:val="24"/>
        </w:rPr>
      </w:pPr>
      <w:r>
        <w:rPr>
          <w:rStyle w:val="CharStyle7"/>
        </w:rPr>
        <w:t xml:space="preserve">Комиссия Управления отмечает, что ввиду отсутствия оспариваемой характеристики в инструкции, размещенной на сайте Росздравндзора, комиссия Заказчика руководствовалась письмом уполномоченного представителя </w:t>
      </w:r>
      <w:r>
        <w:rPr>
          <w:rStyle w:val="CharStyle7"/>
          <w:sz w:val="24"/>
          <w:szCs w:val="24"/>
          <w:lang w:val="en-US" w:eastAsia="en-US"/>
        </w:rPr>
        <w:t>2026-24221</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производителя ООО «Эбботт Лэбораториз», согласно которому модель </w:t>
      </w:r>
      <w:r>
        <w:rPr>
          <w:rStyle w:val="CharStyle7"/>
          <w:lang w:val="en-US" w:eastAsia="en-US"/>
        </w:rPr>
        <w:t xml:space="preserve">HI-TORQUE WHISPER LS, </w:t>
      </w:r>
      <w:r>
        <w:rPr>
          <w:rStyle w:val="CharStyle7"/>
        </w:rPr>
        <w:t xml:space="preserve">предлагаемая Заявителем к поставке, имеет жесткость кончика проводника </w:t>
      </w:r>
      <w:r>
        <w:rPr>
          <w:rStyle w:val="CharStyle7"/>
          <w:lang w:val="en-US" w:eastAsia="en-US"/>
        </w:rPr>
        <w:t xml:space="preserve">1,0 </w:t>
      </w:r>
      <w:r>
        <w:rPr>
          <w:rStyle w:val="CharStyle7"/>
        </w:rPr>
        <w:t>г., что противоречит значению, указанному в составе заявки Заявителя.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Обратного на заседании Комиссии Управления Заявителем доказано не было.</w:t>
      </w:r>
    </w:p>
    <w:p>
      <w:pPr>
        <w:pStyle w:val="Style6"/>
        <w:keepNext w:val="0"/>
        <w:keepLines w:val="0"/>
        <w:widowControl w:val="0"/>
        <w:shd w:val="clear" w:color="auto" w:fill="auto"/>
        <w:bidi w:val="0"/>
        <w:spacing w:before="0" w:after="0" w:line="240" w:lineRule="auto"/>
        <w:ind w:left="0" w:right="0" w:firstLine="700"/>
        <w:jc w:val="both"/>
      </w:pPr>
      <w:r>
        <w:rPr>
          <w:rStyle w:val="CharStyle7"/>
        </w:rPr>
        <w:t>Резюмируя вышеизложенное, Комиссия Управления приходит к выводу о наличии недостоверной информации в составе заявки Заявителя по рассматриваемым обстоятельствам.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пп. «а»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7"/>
          <w:lang w:val="en-US" w:eastAsia="en-US"/>
        </w:rPr>
        <w:t xml:space="preserve">— </w:t>
      </w:r>
      <w:r>
        <w:rPr>
          <w:rStyle w:val="CharStyle7"/>
        </w:rPr>
        <w:t>п.8 ч.12 ст.48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rStyle w:val="CharStyle7"/>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rStyle w:val="CharStyle7"/>
        </w:rPr>
        <w:t xml:space="preserve">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rStyle w:val="CharStyle7"/>
        </w:rPr>
        <w:t xml:space="preserve">предусмотренных пп. «а» п. </w:t>
      </w:r>
      <w:r>
        <w:rPr>
          <w:rStyle w:val="CharStyle7"/>
          <w:lang w:val="en-US" w:eastAsia="en-US"/>
        </w:rPr>
        <w:t xml:space="preserve">1 </w:t>
      </w:r>
      <w:r>
        <w:rPr>
          <w:rStyle w:val="CharStyle7"/>
        </w:rPr>
        <w:t xml:space="preserve">(за исключением случая, предусмотренного п.5 ч.12 ст.48 Закона о контрактной системе), пп. «а» п. </w:t>
      </w:r>
      <w:r>
        <w:rPr>
          <w:rStyle w:val="CharStyle7"/>
          <w:lang w:val="en-US" w:eastAsia="en-US"/>
        </w:rPr>
        <w:t xml:space="preserve">2 </w:t>
      </w:r>
      <w:r>
        <w:rPr>
          <w:rStyle w:val="CharStyle7"/>
        </w:rPr>
        <w:t xml:space="preserve">ч. </w:t>
      </w:r>
      <w:r>
        <w:rPr>
          <w:rStyle w:val="CharStyle7"/>
          <w:lang w:val="en-US" w:eastAsia="en-US"/>
        </w:rPr>
        <w:t xml:space="preserve">4, </w:t>
      </w:r>
      <w:r>
        <w:rPr>
          <w:rStyle w:val="CharStyle7"/>
        </w:rPr>
        <w:t xml:space="preserve">пп. «а» п. </w:t>
      </w:r>
      <w:r>
        <w:rPr>
          <w:rStyle w:val="CharStyle7"/>
          <w:lang w:val="en-US" w:eastAsia="en-US"/>
        </w:rPr>
        <w:t xml:space="preserve">1 </w:t>
      </w:r>
      <w:r>
        <w:rPr>
          <w:rStyle w:val="CharStyle7"/>
        </w:rPr>
        <w:t xml:space="preserve">(за исключением случая, предусмотренного п.5 ч.12 ст.48 Закона о контрактной системе), п. </w:t>
      </w:r>
      <w:r>
        <w:rPr>
          <w:rStyle w:val="CharStyle7"/>
          <w:lang w:val="en-US" w:eastAsia="en-US"/>
        </w:rPr>
        <w:t xml:space="preserve">2 </w:t>
      </w:r>
      <w:r>
        <w:rPr>
          <w:rStyle w:val="CharStyle7"/>
        </w:rPr>
        <w:t xml:space="preserve">ч. </w:t>
      </w:r>
      <w:r>
        <w:rPr>
          <w:rStyle w:val="CharStyle7"/>
          <w:lang w:val="en-US" w:eastAsia="en-US"/>
        </w:rPr>
        <w:t xml:space="preserve">5 </w:t>
      </w:r>
      <w:r>
        <w:rPr>
          <w:rStyle w:val="CharStyle7"/>
        </w:rPr>
        <w:t xml:space="preserve">ст. </w:t>
      </w:r>
      <w:r>
        <w:rPr>
          <w:rStyle w:val="CharStyle7"/>
          <w:lang w:val="en-US" w:eastAsia="en-US"/>
        </w:rPr>
        <w:t xml:space="preserve">14 </w:t>
      </w:r>
      <w:r>
        <w:rPr>
          <w:rStyle w:val="CharStyle7"/>
        </w:rPr>
        <w:t>Закона о контрактной системе;</w:t>
      </w:r>
    </w:p>
    <w:p>
      <w:pPr>
        <w:pStyle w:val="Style6"/>
        <w:keepNext w:val="0"/>
        <w:keepLines w:val="0"/>
        <w:widowControl w:val="0"/>
        <w:numPr>
          <w:ilvl w:val="0"/>
          <w:numId w:val="5"/>
        </w:numPr>
        <w:shd w:val="clear" w:color="auto" w:fill="auto"/>
        <w:tabs>
          <w:tab w:pos="1061" w:val="left"/>
        </w:tabs>
        <w:bidi w:val="0"/>
        <w:spacing w:before="0" w:after="0" w:line="269"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58" w:right="545" w:bottom="678" w:left="1103" w:header="0" w:footer="250" w:gutter="0"/>
          <w:cols w:space="720"/>
          <w:noEndnote/>
          <w:rtlGutter w:val="0"/>
          <w:docGrid w:linePitch="360"/>
        </w:sectPr>
      </w:pPr>
      <w:r>
        <w:rPr>
          <w:rStyle w:val="CharStyle7"/>
        </w:rPr>
        <w:t xml:space="preserve">непредставления информации и документов, предусмотренных п. </w:t>
      </w:r>
      <w:r>
        <w:rPr>
          <w:rStyle w:val="CharStyle7"/>
          <w:lang w:val="en-US" w:eastAsia="en-US"/>
        </w:rPr>
        <w:t xml:space="preserve">5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 xml:space="preserve">Закона о контрактной системе, если такие информация и документы определены 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 xml:space="preserve">Закона о контрактной системе (в случае установления в соответствии с пп. «а»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 xml:space="preserve">Закона о контрактной системе в извещении об </w:t>
      </w:r>
      <w:r>
        <w:rPr>
          <w:rStyle w:val="CharStyle7"/>
          <w:sz w:val="24"/>
          <w:szCs w:val="24"/>
          <w:lang w:val="en-US" w:eastAsia="en-US"/>
        </w:rPr>
        <w:t>2026-24221</w:t>
      </w:r>
    </w:p>
    <w:p>
      <w:pPr>
        <w:pStyle w:val="Style6"/>
        <w:keepNext w:val="0"/>
        <w:keepLines w:val="0"/>
        <w:widowControl w:val="0"/>
        <w:shd w:val="clear" w:color="auto" w:fill="auto"/>
        <w:bidi w:val="0"/>
        <w:spacing w:before="0" w:after="0" w:line="240" w:lineRule="auto"/>
        <w:ind w:left="0" w:right="0" w:firstLine="0"/>
        <w:jc w:val="both"/>
      </w:pPr>
      <w:r>
        <w:rPr>
          <w:rStyle w:val="CharStyle7"/>
        </w:rPr>
        <w:t>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5"/>
        </w:numPr>
        <w:shd w:val="clear" w:color="auto" w:fill="auto"/>
        <w:tabs>
          <w:tab w:pos="1117" w:val="left"/>
        </w:tabs>
        <w:bidi w:val="0"/>
        <w:spacing w:before="0" w:after="0" w:line="240" w:lineRule="auto"/>
        <w:ind w:left="0" w:right="0" w:firstLine="700"/>
        <w:jc w:val="both"/>
      </w:pPr>
      <w:r>
        <w:rPr>
          <w:rStyle w:val="CharStyle7"/>
        </w:rPr>
        <w:t xml:space="preserve">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5"/>
        </w:numPr>
        <w:shd w:val="clear" w:color="auto" w:fill="auto"/>
        <w:tabs>
          <w:tab w:pos="1761" w:val="left"/>
        </w:tabs>
        <w:bidi w:val="0"/>
        <w:spacing w:before="0" w:after="0" w:line="240" w:lineRule="auto"/>
        <w:ind w:left="0" w:right="0" w:firstLine="700"/>
        <w:jc w:val="both"/>
      </w:pPr>
      <w:r>
        <w:rPr>
          <w:rStyle w:val="CharStyle7"/>
        </w:rPr>
        <w:t xml:space="preserve">предусмотренных ч.6 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numPr>
          <w:ilvl w:val="0"/>
          <w:numId w:val="5"/>
        </w:numPr>
        <w:shd w:val="clear" w:color="auto" w:fill="auto"/>
        <w:tabs>
          <w:tab w:pos="1117" w:val="left"/>
        </w:tabs>
        <w:bidi w:val="0"/>
        <w:spacing w:before="0" w:after="0" w:line="240" w:lineRule="auto"/>
        <w:ind w:left="0" w:right="0" w:firstLine="70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5"/>
        </w:numPr>
        <w:shd w:val="clear" w:color="auto" w:fill="auto"/>
        <w:tabs>
          <w:tab w:pos="1112" w:val="left"/>
        </w:tabs>
        <w:bidi w:val="0"/>
        <w:spacing w:before="0" w:after="0" w:line="240" w:lineRule="auto"/>
        <w:ind w:left="0" w:right="0" w:firstLine="700"/>
        <w:jc w:val="both"/>
      </w:pPr>
      <w:r>
        <w:rPr>
          <w:rStyle w:val="CharStyle7"/>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50" w:bottom="1162"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180" w:line="240" w:lineRule="auto"/>
        <w:ind w:left="0" w:right="0" w:firstLine="0"/>
        <w:jc w:val="center"/>
      </w:pPr>
      <w:r>
        <w:rPr>
          <w:rStyle w:val="CharStyle7"/>
          <w:b/>
          <w:bCs/>
        </w:rPr>
        <w:t>РЕШИЛА:</w:t>
      </w:r>
    </w:p>
    <w:p>
      <w:pPr>
        <w:pStyle w:val="Style6"/>
        <w:keepNext w:val="0"/>
        <w:keepLines w:val="0"/>
        <w:widowControl w:val="0"/>
        <w:numPr>
          <w:ilvl w:val="0"/>
          <w:numId w:val="7"/>
        </w:numPr>
        <w:shd w:val="clear" w:color="auto" w:fill="auto"/>
        <w:tabs>
          <w:tab w:pos="968" w:val="left"/>
        </w:tabs>
        <w:bidi w:val="0"/>
        <w:spacing w:before="0" w:after="0" w:line="240" w:lineRule="auto"/>
        <w:ind w:left="0" w:right="0" w:firstLine="640"/>
        <w:jc w:val="both"/>
      </w:pPr>
      <w:r>
        <w:rPr>
          <w:rStyle w:val="CharStyle7"/>
        </w:rPr>
        <w:t>.Признать жалобу ИП Мингалимов Н.Л. на действия ГБУЗ «ГКБ имени М.П. Кончаловского ДЗМ» необоснованной.</w:t>
      </w:r>
    </w:p>
    <w:p>
      <w:pPr>
        <w:pStyle w:val="Style6"/>
        <w:keepNext w:val="0"/>
        <w:keepLines w:val="0"/>
        <w:widowControl w:val="0"/>
        <w:numPr>
          <w:ilvl w:val="0"/>
          <w:numId w:val="7"/>
        </w:numPr>
        <w:shd w:val="clear" w:color="auto" w:fill="auto"/>
        <w:tabs>
          <w:tab w:pos="944" w:val="left"/>
        </w:tabs>
        <w:bidi w:val="0"/>
        <w:spacing w:before="0" w:after="240" w:line="240" w:lineRule="auto"/>
        <w:ind w:left="0" w:right="0" w:firstLine="64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86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316" w:left="1106" w:header="0" w:footer="3" w:gutter="0"/>
          <w:cols w:space="720"/>
          <w:noEndnote/>
          <w:rtlGutter w:val="0"/>
          <w:docGrid w:linePitch="360"/>
        </w:sectPr>
      </w:pPr>
      <w:r>
        <mc:AlternateContent>
          <mc:Choice Requires="wps">
            <w:drawing>
              <wp:anchor distT="127000" distB="215900" distL="0" distR="0" simplePos="0" relativeHeight="125829382" behindDoc="0" locked="0" layoutInCell="1" allowOverlap="1">
                <wp:simplePos x="0" y="0"/>
                <wp:positionH relativeFrom="page">
                  <wp:posOffset>739140</wp:posOffset>
                </wp:positionH>
                <wp:positionV relativeFrom="paragraph">
                  <wp:posOffset>127000</wp:posOffset>
                </wp:positionV>
                <wp:extent cx="1844040" cy="250190"/>
                <wp:wrapTopAndBottom/>
                <wp:docPr id="19" name="Shape 1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200000000000003pt;margin-top:10.pt;width:145.20000000000002pt;height:19.699999999999999pt;z-index:-125829371;mso-wrap-distance-left:0;mso-wrap-distance-top:10.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94310" distB="0" distL="0" distR="1786255" simplePos="0" relativeHeight="125829384" behindDoc="0" locked="0" layoutInCell="1" allowOverlap="1">
            <wp:simplePos x="0" y="0"/>
            <wp:positionH relativeFrom="page">
              <wp:posOffset>3107690</wp:posOffset>
            </wp:positionH>
            <wp:positionV relativeFrom="paragraph">
              <wp:posOffset>194310</wp:posOffset>
            </wp:positionV>
            <wp:extent cx="359410" cy="40259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285750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80000000000001pt;margin-top:22.5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5900" distL="0" distR="0" simplePos="0" relativeHeight="125829385" behindDoc="0" locked="0" layoutInCell="1" allowOverlap="1">
                <wp:simplePos x="0" y="0"/>
                <wp:positionH relativeFrom="page">
                  <wp:posOffset>5914390</wp:posOffset>
                </wp:positionH>
                <wp:positionV relativeFrom="paragraph">
                  <wp:posOffset>127000</wp:posOffset>
                </wp:positionV>
                <wp:extent cx="1304290" cy="250190"/>
                <wp:wrapTopAndBottom/>
                <wp:docPr id="25" name="Shape 25"/>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51" type="#_x0000_t202" style="position:absolute;margin-left:465.69999999999999pt;margin-top:10.pt;width:102.7pt;height:19.699999999999999pt;z-index:-125829368;mso-wrap-distance-left:0;mso-wrap-distance-top:10.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18"/>
          <w:color w:val="FFFFFF"/>
          <w:sz w:val="11"/>
          <w:szCs w:val="11"/>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rPr>
          <w:sz w:val="11"/>
          <w:szCs w:val="11"/>
        </w:rPr>
      </w:pPr>
      <w:r>
        <w:rPr>
          <w:rStyle w:val="CharStyle18"/>
        </w:rPr>
        <w:t xml:space="preserve">Кому </w:t>
      </w:r>
      <w:r>
        <w:rPr>
          <w:rStyle w:val="CharStyle18"/>
          <w:color w:val="565656"/>
        </w:rPr>
        <w:t xml:space="preserve">выдан: </w:t>
      </w:r>
      <w:r>
        <w:rPr>
          <w:rStyle w:val="CharStyle18"/>
          <w:color w:val="000000"/>
          <w:sz w:val="11"/>
          <w:szCs w:val="11"/>
        </w:rPr>
        <w:t>МАРТЬЯНОВА ЕЛЕНА ДМИТРИЕВНА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00EA3D636CED58A70F15417FA130B2F6C</w:t>
      </w:r>
      <w:r>
        <w:rPr>
          <w:rStyle w:val="CharStyle18"/>
          <w:lang w:val="en-US" w:eastAsia="en-US"/>
        </w:rPr>
        <w:t>B</w:t>
      </w:r>
    </w:p>
    <w:p>
      <w:pPr>
        <w:pStyle w:val="Style17"/>
        <w:keepNext w:val="0"/>
        <w:keepLines w:val="0"/>
        <w:widowControl w:val="0"/>
        <w:shd w:val="clear" w:color="auto" w:fill="auto"/>
        <w:bidi w:val="0"/>
        <w:spacing w:before="0" w:after="240" w:line="240" w:lineRule="auto"/>
        <w:ind w:right="0" w:firstLine="0"/>
        <w:jc w:val="left"/>
      </w:pPr>
      <w:r>
        <w:rPr>
          <w:rStyle w:val="CharStyle18"/>
        </w:rPr>
        <w:t xml:space="preserve">Действителен с </w:t>
      </w:r>
      <w:r>
        <w:rPr>
          <w:rStyle w:val="CharStyle18"/>
          <w:color w:val="565656"/>
        </w:rPr>
        <w:t>20.04.2026 по 14.07.2027</w:t>
      </w:r>
    </w:p>
    <w:p>
      <w:pPr>
        <w:pStyle w:val="Style6"/>
        <w:keepNext w:val="0"/>
        <w:keepLines w:val="0"/>
        <w:widowControl w:val="0"/>
        <w:shd w:val="clear" w:color="auto" w:fill="auto"/>
        <w:bidi w:val="0"/>
        <w:spacing w:before="0" w:after="100" w:line="240" w:lineRule="auto"/>
        <w:ind w:left="0" w:right="0" w:firstLine="0"/>
        <w:jc w:val="both"/>
      </w:pPr>
      <w:r>
        <w:rPr>
          <w:rStyle w:val="CharStyle7"/>
        </w:rPr>
        <w:t>Члены Комиссии</w:t>
      </w:r>
    </w:p>
    <w:p>
      <w:pPr>
        <w:pStyle w:val="Style6"/>
        <w:keepNext w:val="0"/>
        <w:keepLines w:val="0"/>
        <w:widowControl w:val="0"/>
        <w:shd w:val="clear" w:color="auto" w:fill="auto"/>
        <w:bidi w:val="0"/>
        <w:spacing w:before="0" w:after="390" w:line="240" w:lineRule="auto"/>
        <w:ind w:left="0" w:right="0" w:firstLine="0"/>
        <w:jc w:val="right"/>
      </w:pPr>
      <w:r>
        <w:drawing>
          <wp:anchor distT="0" distB="0" distL="114300" distR="1931035" simplePos="0" relativeHeight="125829387" behindDoc="0" locked="0" layoutInCell="1" allowOverlap="1">
            <wp:simplePos x="0" y="0"/>
            <wp:positionH relativeFrom="page">
              <wp:posOffset>3137535</wp:posOffset>
            </wp:positionH>
            <wp:positionV relativeFrom="paragraph">
              <wp:posOffset>88900</wp:posOffset>
            </wp:positionV>
            <wp:extent cx="298450" cy="34734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3527425</wp:posOffset>
                </wp:positionH>
                <wp:positionV relativeFrom="paragraph">
                  <wp:posOffset>149860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75pt;margin-top:11.800000000000001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18"/>
          <w:color w:val="FFFFFF"/>
          <w:sz w:val="11"/>
          <w:szCs w:val="11"/>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rPr>
          <w:sz w:val="11"/>
          <w:szCs w:val="11"/>
        </w:rPr>
      </w:pPr>
      <w:r>
        <w:rPr>
          <w:rStyle w:val="CharStyle18"/>
        </w:rPr>
        <w:t xml:space="preserve">Кому выдан: </w:t>
      </w:r>
      <w:r>
        <w:rPr>
          <w:rStyle w:val="CharStyle18"/>
          <w:color w:val="000000"/>
          <w:sz w:val="11"/>
          <w:szCs w:val="11"/>
        </w:rPr>
        <w:t>Мацнева Мария Олеговна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00FDA1C988AAB27A9A34756B8D5F1D853</w:t>
      </w:r>
      <w:r>
        <w:rPr>
          <w:rStyle w:val="CharStyle18"/>
          <w:lang w:val="en-US" w:eastAsia="en-US"/>
        </w:rPr>
        <w:t>A</w:t>
      </w:r>
    </w:p>
    <w:p>
      <w:pPr>
        <w:pStyle w:val="Style17"/>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8" behindDoc="0" locked="0" layoutInCell="1" allowOverlap="1">
                <wp:simplePos x="0" y="0"/>
                <wp:positionH relativeFrom="page">
                  <wp:posOffset>5890260</wp:posOffset>
                </wp:positionH>
                <wp:positionV relativeFrom="paragraph">
                  <wp:posOffset>279400</wp:posOffset>
                </wp:positionV>
                <wp:extent cx="1329055" cy="252730"/>
                <wp:wrapSquare wrapText="bothSides"/>
                <wp:docPr id="31" name="Shape 31"/>
                <a:graphic xmlns:a="http://schemas.openxmlformats.org/drawingml/2006/main">
                  <a:graphicData uri="http://schemas.microsoft.com/office/word/2010/wordprocessingShape">
                    <wps:wsp>
                      <wps:cNvSpPr txBox="1"/>
                      <wps:spPr>
                        <a:xfrm>
                          <a:ext cx="132905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Е.С. Переверзева</w:t>
                            </w:r>
                          </w:p>
                        </w:txbxContent>
                      </wps:txbx>
                      <wps:bodyPr wrap="none" lIns="0" tIns="0" rIns="0" bIns="0">
                        <a:noAutoFit/>
                      </wps:bodyPr>
                    </wps:wsp>
                  </a:graphicData>
                </a:graphic>
              </wp:anchor>
            </w:drawing>
          </mc:Choice>
          <mc:Fallback>
            <w:pict>
              <v:shape id="_x0000_s1057" type="#_x0000_t202" style="position:absolute;margin-left:463.80000000000001pt;margin-top:22.pt;width:104.65000000000001pt;height:19.900000000000002pt;z-index:-12582936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Е.С. Переверзева</w:t>
                      </w:r>
                    </w:p>
                  </w:txbxContent>
                </v:textbox>
                <w10:wrap type="square" anchorx="page"/>
              </v:shape>
            </w:pict>
          </mc:Fallback>
        </mc:AlternateContent>
      </w:r>
      <w:r>
        <w:rPr>
          <w:rStyle w:val="CharStyle18"/>
        </w:rPr>
        <w:t xml:space="preserve">Действителен с 22.07.2025 </w:t>
      </w:r>
      <w:r>
        <w:rPr>
          <w:rStyle w:val="CharStyle18"/>
          <w:color w:val="565656"/>
        </w:rPr>
        <w:t xml:space="preserve">по </w:t>
      </w:r>
      <w:r>
        <w:rPr>
          <w:rStyle w:val="CharStyle18"/>
        </w:rPr>
        <w:t>15.10.2026</w:t>
      </w:r>
    </w:p>
    <w:p>
      <w:pPr>
        <w:pStyle w:val="Style23"/>
        <w:keepNext w:val="0"/>
        <w:keepLines w:val="0"/>
        <w:widowControl w:val="0"/>
        <w:shd w:val="clear" w:color="auto" w:fill="auto"/>
        <w:bidi w:val="0"/>
        <w:spacing w:before="0" w:after="90" w:line="240" w:lineRule="auto"/>
        <w:ind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18"/>
          <w:color w:val="FFFFFF"/>
          <w:sz w:val="11"/>
          <w:szCs w:val="11"/>
        </w:rPr>
        <w:t>СВЕДЕНИЯ О СЕРТИФИКАТЕ ЭП</w:t>
      </w:r>
    </w:p>
    <w:p>
      <w:pPr>
        <w:pStyle w:val="Style17"/>
        <w:keepNext w:val="0"/>
        <w:keepLines w:val="0"/>
        <w:widowControl w:val="0"/>
        <w:shd w:val="clear" w:color="auto" w:fill="auto"/>
        <w:bidi w:val="0"/>
        <w:spacing w:before="0" w:after="0" w:line="266" w:lineRule="auto"/>
        <w:ind w:right="0" w:firstLine="0"/>
        <w:jc w:val="left"/>
      </w:pPr>
      <w:r>
        <w:rPr>
          <w:rStyle w:val="CharStyle18"/>
        </w:rPr>
        <w:t xml:space="preserve">Кому выдан: </w:t>
      </w:r>
      <w:r>
        <w:rPr>
          <w:rStyle w:val="CharStyle18"/>
          <w:color w:val="000000"/>
          <w:sz w:val="11"/>
          <w:szCs w:val="11"/>
        </w:rPr>
        <w:t>ПЕРЕВЕРЗЕВА ЕЛИЗАВЕТА СЕРГЕЕВНА</w:t>
      </w:r>
      <w:r>
        <w:rPr>
          <w:rStyle w:val="CharStyle18"/>
          <w:color w:val="000000"/>
          <w:sz w:val="11"/>
          <w:szCs w:val="11"/>
        </w:rPr>
        <w:t xml:space="preserve"> </w:t>
      </w:r>
      <w:r>
        <w:rPr>
          <w:rStyle w:val="CharStyle18"/>
        </w:rPr>
        <w:t xml:space="preserve">Сертификат </w:t>
      </w:r>
      <w:r>
        <w:rPr>
          <w:rStyle w:val="CharStyle18"/>
          <w:color w:val="292929"/>
        </w:rPr>
        <w:t xml:space="preserve">№ </w:t>
      </w:r>
      <w:r>
        <w:rPr>
          <w:rStyle w:val="CharStyle18"/>
          <w:lang w:val="en-US" w:eastAsia="en-US"/>
        </w:rPr>
        <w:t>00FFF3ACD3A01A73F4C680C3941</w:t>
      </w:r>
      <w:r>
        <w:rPr>
          <w:rStyle w:val="CharStyle18"/>
        </w:rPr>
        <w:t>ЕЗСА026</w:t>
      </w:r>
    </w:p>
    <w:p>
      <w:pPr>
        <w:pStyle w:val="Style17"/>
        <w:keepNext w:val="0"/>
        <w:keepLines w:val="0"/>
        <w:widowControl w:val="0"/>
        <w:shd w:val="clear" w:color="auto" w:fill="auto"/>
        <w:bidi w:val="0"/>
        <w:spacing w:before="0" w:after="5000" w:line="266" w:lineRule="auto"/>
        <w:ind w:right="0" w:firstLine="0"/>
        <w:jc w:val="left"/>
      </w:pPr>
      <w:r>
        <w:rPr>
          <w:rStyle w:val="CharStyle18"/>
        </w:rPr>
        <w:t xml:space="preserve">Действителен с 11.12.2025 </w:t>
      </w:r>
      <w:r>
        <w:rPr>
          <w:rStyle w:val="CharStyle18"/>
          <w:color w:val="565656"/>
        </w:rPr>
        <w:t xml:space="preserve">по </w:t>
      </w:r>
      <w:r>
        <w:rPr>
          <w:rStyle w:val="CharStyle18"/>
        </w:rPr>
        <w:t>06.03.2027</w:t>
      </w:r>
    </w:p>
    <w:p>
      <w:pPr>
        <w:pStyle w:val="Style25"/>
        <w:keepNext w:val="0"/>
        <w:keepLines w:val="0"/>
        <w:widowControl w:val="0"/>
        <w:shd w:val="clear" w:color="auto" w:fill="auto"/>
        <w:bidi w:val="0"/>
        <w:spacing w:before="0" w:line="240" w:lineRule="auto"/>
        <w:ind w:left="0" w:right="0" w:firstLine="0"/>
        <w:jc w:val="left"/>
      </w:pPr>
      <w:r>
        <w:rPr>
          <w:rStyle w:val="CharStyle26"/>
        </w:rPr>
        <w:t>Исп.Переверзева Е.С. тел.(495)784-75-05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19455" cy="103505"/>
              <wp:wrapNone/>
              <wp:docPr id="9" name="Shape 9"/>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2026-24221</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717550</wp:posOffset>
              </wp:positionH>
              <wp:positionV relativeFrom="page">
                <wp:posOffset>10247630</wp:posOffset>
              </wp:positionV>
              <wp:extent cx="734695" cy="73025"/>
              <wp:wrapNone/>
              <wp:docPr id="11" name="Shape 11"/>
              <a:graphic xmlns:a="http://schemas.openxmlformats.org/drawingml/2006/main">
                <a:graphicData uri="http://schemas.microsoft.com/office/word/2010/wordprocessingShape">
                  <wps:wsp>
                    <wps:cNvSpPr txBox="1"/>
                    <wps:spPr>
                      <a:xfrm>
                        <a:ext cx="734695"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2026-24221</w:t>
                          </w:r>
                        </w:p>
                      </w:txbxContent>
                    </wps:txbx>
                    <wps:bodyPr wrap="none" lIns="0" tIns="0" rIns="0" bIns="0">
                      <a:spAutoFit/>
                    </wps:bodyPr>
                  </wps:wsp>
                </a:graphicData>
              </a:graphic>
            </wp:anchor>
          </w:drawing>
        </mc:Choice>
        <mc:Fallback>
          <w:pict>
            <v:shape id="_x0000_s1037" type="#_x0000_t202" style="position:absolute;margin-left:56.5pt;margin-top:806.89999999999998pt;width:57.850000000000001pt;height:5.7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2026-24221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19455" cy="103505"/>
              <wp:wrapNone/>
              <wp:docPr id="17" name="Shape 17"/>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2026-24221</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6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3890645</wp:posOffset>
              </wp:positionH>
              <wp:positionV relativeFrom="page">
                <wp:posOffset>473075</wp:posOffset>
              </wp:positionV>
              <wp:extent cx="133985" cy="69850"/>
              <wp:wrapNone/>
              <wp:docPr id="7" name="Shape 7"/>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35000000000002pt;margin-top:37.25pt;width:10.550000000000001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3931285</wp:posOffset>
              </wp:positionH>
              <wp:positionV relativeFrom="page">
                <wp:posOffset>473075</wp:posOffset>
              </wp:positionV>
              <wp:extent cx="57785" cy="100330"/>
              <wp:wrapNone/>
              <wp:docPr id="13" name="Shape 13"/>
              <a:graphic xmlns:a="http://schemas.openxmlformats.org/drawingml/2006/main">
                <a:graphicData uri="http://schemas.microsoft.com/office/word/2010/wordprocessingShape">
                  <wps:wsp>
                    <wps:cNvSpPr txBox="1"/>
                    <wps:spPr>
                      <a:xfrm>
                        <a:ext cx="5778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55000000000001pt;margin-top:37.25pt;width:4.5499999999999998pt;height:7.90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3890645</wp:posOffset>
              </wp:positionH>
              <wp:positionV relativeFrom="page">
                <wp:posOffset>473075</wp:posOffset>
              </wp:positionV>
              <wp:extent cx="133985" cy="69850"/>
              <wp:wrapNone/>
              <wp:docPr id="15" name="Shape 15"/>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35000000000002pt;margin-top:37.25pt;width:10.550000000000001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14141"/>
      <w:sz w:val="12"/>
      <w:szCs w:val="12"/>
      <w:u w:val="none"/>
    </w:rPr>
  </w:style>
  <w:style w:type="character" w:customStyle="1" w:styleId="CharStyle24">
    <w:name w:val="Body text (4)_"/>
    <w:basedOn w:val="DefaultParagraphFont"/>
    <w:link w:val="Style23"/>
    <w:rPr>
      <w:rFonts w:ascii="Georgia" w:eastAsia="Georgia" w:hAnsi="Georgia" w:cs="Georgia"/>
      <w:b w:val="0"/>
      <w:bCs w:val="0"/>
      <w:i w:val="0"/>
      <w:iCs w:val="0"/>
      <w:smallCaps w:val="0"/>
      <w:strike w:val="0"/>
      <w:color w:val="292929"/>
      <w:sz w:val="11"/>
      <w:szCs w:val="11"/>
      <w:u w:val="none"/>
    </w:rPr>
  </w:style>
  <w:style w:type="character" w:customStyle="1" w:styleId="CharStyle26">
    <w:name w:val="Body text (5)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2)"/>
    <w:basedOn w:val="Normal"/>
    <w:link w:val="CharStyle18"/>
    <w:pPr>
      <w:widowControl w:val="0"/>
      <w:shd w:val="clear" w:color="auto" w:fill="auto"/>
      <w:spacing w:after="50"/>
      <w:ind w:left="3820"/>
    </w:pPr>
    <w:rPr>
      <w:rFonts w:ascii="Arial" w:eastAsia="Arial" w:hAnsi="Arial" w:cs="Arial"/>
      <w:b w:val="0"/>
      <w:bCs w:val="0"/>
      <w:i w:val="0"/>
      <w:iCs w:val="0"/>
      <w:smallCaps w:val="0"/>
      <w:strike w:val="0"/>
      <w:color w:val="414141"/>
      <w:sz w:val="12"/>
      <w:szCs w:val="12"/>
      <w:u w:val="none"/>
    </w:rPr>
  </w:style>
  <w:style w:type="paragraph" w:customStyle="1" w:styleId="Style23">
    <w:name w:val="Body text (4)"/>
    <w:basedOn w:val="Normal"/>
    <w:link w:val="CharStyle24"/>
    <w:pPr>
      <w:widowControl w:val="0"/>
      <w:shd w:val="clear" w:color="auto" w:fill="auto"/>
      <w:spacing w:after="100"/>
      <w:ind w:left="4460"/>
    </w:pPr>
    <w:rPr>
      <w:rFonts w:ascii="Georgia" w:eastAsia="Georgia" w:hAnsi="Georgia" w:cs="Georgia"/>
      <w:b w:val="0"/>
      <w:bCs w:val="0"/>
      <w:i w:val="0"/>
      <w:iCs w:val="0"/>
      <w:smallCaps w:val="0"/>
      <w:strike w:val="0"/>
      <w:color w:val="292929"/>
      <w:sz w:val="11"/>
      <w:szCs w:val="11"/>
      <w:u w:val="none"/>
    </w:rPr>
  </w:style>
  <w:style w:type="paragraph" w:customStyle="1" w:styleId="Style25">
    <w:name w:val="Body text (5)"/>
    <w:basedOn w:val="Normal"/>
    <w:link w:val="CharStyle26"/>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