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85" w:right="550" w:bottom="938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ИБ/19014/2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Главное управление Федеральной службы судебных приставов по Нижегородской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603950, ГСП-530, г.Нижний Новгород, ул. Вождей Революции, д.5а, корпус 1 </w:t>
      </w:r>
      <w:r>
        <w:fldChar w:fldCharType="begin"/>
      </w:r>
      <w:r>
        <w:rPr/>
        <w:instrText> HYPERLINK "mailto:mail@r52.fssp.gov.ru"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mail@r52.fssp.gov.ru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ООО «ПОБЕДА»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"mailto:kv@cartzakaz.ru"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kv@cartzakaz.ru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119435, г. Москва, Большой Саввинский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переулок, д.12, стр. 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42" w:bottom="1371" w:left="1135" w:header="0" w:footer="3" w:gutter="0"/>
          <w:cols w:num="2" w:space="720" w:equalWidth="0">
            <w:col w:w="4334" w:space="936"/>
            <w:col w:w="4853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13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052/06/105-2208/2026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576070" cy="2349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22 сентября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24.1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22 сентября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-1860" w:right="0" w:firstLine="740"/>
        <w:jc w:val="left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0</wp:posOffset>
                </wp:positionV>
                <wp:extent cx="1167130" cy="80454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Лебедева Ю.К.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Макарова Е.А.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0;width:91.900000000000006pt;height:63.3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Лебедева Ю.К.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Макарова Е.А.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720" w:right="0" w:hanging="160"/>
        <w:jc w:val="both"/>
      </w:pPr>
      <w:r>
        <w:rPr>
          <w:rStyle w:val="CharStyle13"/>
        </w:rPr>
        <w:t>член комиссии, специалист-эксперт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340" w:line="240" w:lineRule="auto"/>
        <w:ind w:left="720" w:right="0" w:hanging="160"/>
        <w:jc w:val="both"/>
      </w:pPr>
      <w:r>
        <w:rPr>
          <w:rStyle w:val="CharStyle13"/>
        </w:rPr>
        <w:t>член комиссии, специалист 1 разряда отдела контроля государственных и муниципальных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17"/>
        </w:rPr>
        <w:t>при участии по видео-конференц-связи</w:t>
      </w:r>
    </w:p>
    <w:tbl>
      <w:tblPr>
        <w:tblOverlap w:val="never"/>
        <w:jc w:val="right"/>
        <w:tblLayout w:type="fixed"/>
      </w:tblPr>
      <w:tblGrid>
        <w:gridCol w:w="2208"/>
        <w:gridCol w:w="8021"/>
      </w:tblGrid>
      <w:tr>
        <w:trPr>
          <w:trHeight w:val="88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Лысенко Г.А.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rStyle w:val="CharStyle19"/>
              </w:rPr>
              <w:t>представителя Главного управления Федеральной службы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hanging="260"/>
              <w:jc w:val="left"/>
            </w:pPr>
            <w:r>
              <w:rPr>
                <w:rStyle w:val="CharStyle19"/>
              </w:rPr>
              <w:t>– судебных приставов по Нижегородской области по доверенности от 29.12.2025 № Д52908/25/93,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Китаевой Ю.А.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rStyle w:val="CharStyle19"/>
              </w:rPr>
              <w:t>Представителя ООО «ПОБЕДА» по доверенности от 21.09.2026 № 1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5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50" w:bottom="1371" w:left="2954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>рассмотрев посредством видеоконферецсвязи жалобу общества с ограниченной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93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705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12700</wp:posOffset>
            </wp:positionV>
            <wp:extent cx="1334770" cy="4508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50" w:bottom="938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ответственностью «ПОБЕДА»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общество, заявитель) о нарушении Главного управления Федерального службы судебных приставов по Нижегородской области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Заказчик)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>0332100031826000028,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 xml:space="preserve">0332100031826000028. </w:t>
      </w: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3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  <w:lang w:val="en-US" w:eastAsia="en-US"/>
        </w:rPr>
        <w:t xml:space="preserve">10.09.2026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АО «Сбербанк-АСТ»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размещено извещение о проведении электронного аукциона. Начальная (максимальная) цена контракта </w:t>
      </w:r>
      <w:r>
        <w:rPr>
          <w:rStyle w:val="CharStyle13"/>
          <w:lang w:val="en-US" w:eastAsia="en-US"/>
        </w:rPr>
        <w:t xml:space="preserve">– 1 143 887,38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По мнению заявителя, извещение о проведении закупки не соответствуют требованиям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Относительно кода ОКПД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установлено следующее: в п.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Описания объекта закупки и в п.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Извещения Код по Общероссийскому классификатору видов экономической деятельности, продукции и услуг (ОКПД </w:t>
      </w:r>
      <w:r>
        <w:rPr>
          <w:rStyle w:val="CharStyle13"/>
          <w:lang w:val="en-US" w:eastAsia="en-US"/>
        </w:rPr>
        <w:t xml:space="preserve">2; </w:t>
      </w:r>
      <w:r>
        <w:rPr>
          <w:rStyle w:val="CharStyle13"/>
        </w:rPr>
        <w:t xml:space="preserve">КТРУ) указан: ОКПД2: </w:t>
      </w:r>
      <w:r>
        <w:rPr>
          <w:rStyle w:val="CharStyle13"/>
          <w:lang w:val="en-US" w:eastAsia="en-US"/>
        </w:rPr>
        <w:t xml:space="preserve">26.20.40.120: </w:t>
      </w:r>
      <w:r>
        <w:rPr>
          <w:rStyle w:val="CharStyle13"/>
        </w:rPr>
        <w:t>Элементы замены типовые устройств ввода и вывода.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КТРУ </w:t>
      </w:r>
      <w:r>
        <w:rPr>
          <w:rStyle w:val="CharStyle13"/>
          <w:lang w:val="en-US" w:eastAsia="en-US"/>
        </w:rPr>
        <w:t xml:space="preserve">20.59.12.120-00000002 </w:t>
      </w:r>
      <w:r>
        <w:rPr>
          <w:rStyle w:val="CharStyle13"/>
        </w:rPr>
        <w:t>«Картридж для электрографических печатающих устройств».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То есть код </w:t>
      </w:r>
      <w:r>
        <w:rPr>
          <w:rStyle w:val="CharStyle13"/>
          <w:lang w:val="en-US" w:eastAsia="en-US"/>
        </w:rPr>
        <w:t xml:space="preserve">20.59.12.120-00000002, </w:t>
      </w:r>
      <w:r>
        <w:rPr>
          <w:rStyle w:val="CharStyle13"/>
        </w:rPr>
        <w:t>является кодом позиции из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установила, что извещение об осуществлении закупки, если иное не предусмотрено Законом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должно содержать, в том числе электронный документ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Комиссия Нижегородского УФАС России установила, что в извещении </w:t>
      </w:r>
      <w:r>
        <w:rPr>
          <w:rStyle w:val="CharStyle13"/>
          <w:lang w:val="en-US" w:eastAsia="en-US"/>
        </w:rPr>
        <w:t xml:space="preserve">№0332100031826000028 </w:t>
      </w:r>
      <w:r>
        <w:rPr>
          <w:rStyle w:val="CharStyle13"/>
        </w:rPr>
        <w:t xml:space="preserve">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установлено ограничение закупок товаров, происходящих из иностранных государств, выполняемых работ, оказываемых услуг иностранными лицами на основании 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свою очередь вышеуказанное ограничение закупок товаров, происходящих из иностранных государств, выполняемых работ, оказываемых услуг иностранными лицами не применяется в соответствии п.п.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>№1875).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Подпункт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 xml:space="preserve">указывает на следующее, ограничение, предусмотренное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настоящего постановления, может не применяться заказчиками при осуществлении закупок: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настоящего подпункта не применяются при осуществлении закупок товаров, указанных в приложении </w:t>
      </w:r>
      <w:r>
        <w:rPr>
          <w:rStyle w:val="CharStyle13"/>
          <w:lang w:val="en-US" w:eastAsia="en-US"/>
        </w:rPr>
        <w:t xml:space="preserve">№2 </w:t>
      </w:r>
      <w:r>
        <w:rPr>
          <w:rStyle w:val="CharStyle13"/>
        </w:rPr>
        <w:t>к настоящему постановлению и являющихся расходными материалами, комплектующими, принадлежностями к медицинским изделиям.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Извещение содержит соответствующую информацию.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Кроме того, описание объекта закупки содержит указание на модель родительского устройства, что обусловлено необходимостью обеспечения взаимодействия закупаемого Товара с оборудованием Заказчика в соответствии с его технической документацией.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Исходя из анализа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 Заявитель не представил доказательства, однозначно свидетельствующие о неправомерности установления Заказчиком характеристик подобным образом, равно как и об ограничении потенциального количества участников закупки путем установления спорных характеристик и лишении Заявителя возможности подать заявку на участие в закупке. По существу доводы жалобы носят вероятностный, уклончивый и предположительный характер. Таким образом, Комиссия Нижегородского УФАС России признает жалобу ООО «ПОБЕДА»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Признать жалобу общества с ограниченной ответственностью «ПОБЕДА» о нарушении Главного управления Федерального службы судебных приставов по Нижегородской области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 xml:space="preserve">0332100031826000028,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54" w:right="551" w:bottom="165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1475" distL="0" distR="0" simplePos="0" relativeHeight="125829382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101600</wp:posOffset>
                </wp:positionV>
                <wp:extent cx="156972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8.pt;width:123.60000000000001pt;height:17.300000000000001pt;z-index:-125829371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8910" distB="0" distL="0" distR="1786255" simplePos="0" relativeHeight="125829384" behindDoc="0" locked="0" layoutInCell="1" allowOverlap="1">
            <wp:simplePos x="0" y="0"/>
            <wp:positionH relativeFrom="page">
              <wp:posOffset>3230245</wp:posOffset>
            </wp:positionH>
            <wp:positionV relativeFrom="paragraph">
              <wp:posOffset>168910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3693795</wp:posOffset>
                </wp:positionH>
                <wp:positionV relativeFrom="paragraph">
                  <wp:posOffset>577215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0.85000000000002pt;margin-top:45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7.44999999999999pt;margin-top:2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71475" distL="0" distR="0" simplePos="0" relativeHeight="125829385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101600</wp:posOffset>
                </wp:positionV>
                <wp:extent cx="883920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6.25pt;margin-top:8.pt;width:69.600000000000009pt;height:17.300000000000001pt;z-index:-125829368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Баранов Илья Валерьевич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0D493BB3DAA620D04EE744081508209F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24.09.2025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5" w:bottom="169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74650" distL="0" distR="0" simplePos="0" relativeHeight="125829387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155065" cy="216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050000000000004pt;margin-top:10.pt;width:90.950000000000003pt;height:17.050000000000001pt;z-index:-125829366;mso-wrap-distance-left:0;mso-wrap-distance-top:1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9" behindDoc="0" locked="0" layoutInCell="1" allowOverlap="1">
            <wp:simplePos x="0" y="0"/>
            <wp:positionH relativeFrom="page">
              <wp:posOffset>3230245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3693795</wp:posOffset>
                </wp:positionH>
                <wp:positionV relativeFrom="paragraph">
                  <wp:posOffset>601980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85000000000002pt;margin-top:47.3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44999999999999pt;margin-top:22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74650" distL="0" distR="0" simplePos="0" relativeHeight="125829390" behindDoc="0" locked="0" layoutInCell="1" allowOverlap="1">
                <wp:simplePos x="0" y="0"/>
                <wp:positionH relativeFrom="page">
                  <wp:posOffset>5922010</wp:posOffset>
                </wp:positionH>
                <wp:positionV relativeFrom="paragraph">
                  <wp:posOffset>127000</wp:posOffset>
                </wp:positionV>
                <wp:extent cx="999490" cy="21653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Ю.К. Лебедева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6.30000000000001pt;margin-top:10.pt;width:78.700000000000003pt;height:17.050000000000001pt;z-index:-125829363;mso-wrap-distance-left:0;mso-wrap-distance-top:1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Ю.К. Лебедева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Лебедева Юлия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00C93FBB7A4557EA64748F1397E15ED90B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304800</wp:posOffset>
                </wp:positionV>
                <wp:extent cx="981710" cy="216535"/>
                <wp:wrapSquare wrapText="left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Е.А. Макарова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6.25pt;margin-top:24.pt;width:77.299999999999997pt;height:17.05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Е.А. Макарова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04.09.2025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28.1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720" w:right="0" w:firstLine="0"/>
        <w:jc w:val="left"/>
        <w:rPr>
          <w:sz w:val="12"/>
          <w:szCs w:val="12"/>
        </w:rPr>
      </w:pPr>
      <w:r>
        <w:rPr>
          <w:rStyle w:val="CharStyle30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Макарова Екатерина Алексеевна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1793AF1D0F3D8AFF579FA0AB8EA2CBCB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00" w:line="240" w:lineRule="auto"/>
        <w:ind w:right="0" w:firstLine="0"/>
        <w:jc w:val="left"/>
      </w:pPr>
      <w:r>
        <w:rPr>
          <w:rStyle w:val="CharStyle25"/>
        </w:rPr>
        <w:t xml:space="preserve">Действителен с 07.07.2026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30.09.2027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Исп.Макарова Е.А.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3"/>
        </w:rPr>
        <w:t>тел.431-73-87,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885190</wp:posOffset>
              </wp:positionH>
              <wp:positionV relativeFrom="page">
                <wp:posOffset>10034270</wp:posOffset>
              </wp:positionV>
              <wp:extent cx="7346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2026-22253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700000000000003pt;margin-top:790.10000000000002pt;width:57.8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2026-22253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10209530</wp:posOffset>
              </wp:positionV>
              <wp:extent cx="73469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2026-22253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1.25pt;margin-top:803.89999999999998pt;width:57.8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2026-22253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788035</wp:posOffset>
              </wp:positionV>
              <wp:extent cx="73025" cy="882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69999999999999pt;margin-top:62.050000000000004pt;width:5.75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Tabl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3">
    <w:name w:val="Body text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Table caption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10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2">
    <w:name w:val="Body text (5)"/>
    <w:basedOn w:val="Normal"/>
    <w:link w:val="CharStyle33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