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83" w:h="3517" w:wrap="around" w:vAnchor="text" w:hAnchor="margin" w:x="102" w:y="205"/>
        <w:widowControl w:val="0"/>
        <w:keepNext w:val="0"/>
        <w:keepLines w:val="0"/>
        <w:shd w:val="clear" w:color="auto" w:fill="auto"/>
        <w:bidi w:val="0"/>
        <w:spacing w:before="0" w:after="180"/>
        <w:ind w:left="20" w:right="0" w:firstLine="0"/>
      </w:pPr>
      <w:r>
        <w:rPr>
          <w:rStyle w:val="CharStyle4"/>
          <w:b/>
          <w:bCs/>
          <w:spacing w:val="0"/>
        </w:rPr>
        <w:t>ФЕДЕРАЛЬНАЯ АНТИМОНОПОЛЬНАЯ СЛУЖБА</w:t>
      </w:r>
    </w:p>
    <w:p>
      <w:pPr>
        <w:pStyle w:val="Style3"/>
        <w:framePr w:w="4883" w:h="3517" w:wrap="around" w:vAnchor="text" w:hAnchor="margin" w:x="102" w:y="205"/>
        <w:widowControl w:val="0"/>
        <w:keepNext w:val="0"/>
        <w:keepLines w:val="0"/>
        <w:shd w:val="clear" w:color="auto" w:fill="auto"/>
        <w:bidi w:val="0"/>
        <w:spacing w:before="0" w:after="0"/>
        <w:ind w:left="2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883" w:h="3517" w:wrap="around" w:vAnchor="text" w:hAnchor="margin" w:x="102" w:y="205"/>
        <w:widowControl w:val="0"/>
        <w:keepNext w:val="0"/>
        <w:keepLines w:val="0"/>
        <w:shd w:val="clear" w:color="auto" w:fill="auto"/>
        <w:bidi w:val="0"/>
        <w:spacing w:before="0" w:after="0"/>
        <w:ind w:left="2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framePr w:w="4883" w:h="3517" w:wrap="around" w:vAnchor="text" w:hAnchor="margin" w:x="102" w:y="205"/>
        <w:widowControl w:val="0"/>
        <w:keepNext w:val="0"/>
        <w:keepLines w:val="0"/>
        <w:shd w:val="clear" w:color="auto" w:fill="auto"/>
        <w:bidi w:val="0"/>
        <w:jc w:val="left"/>
        <w:spacing w:before="0" w:after="0" w:line="562" w:lineRule="exact"/>
        <w:ind w:left="20" w:right="2140" w:firstLine="0"/>
      </w:pPr>
      <w:r>
        <w:rPr>
          <w:rStyle w:val="CharStyle8"/>
          <w:spacing w:val="0"/>
        </w:rPr>
        <w:t>10.11.2017 №06/12880 На № б/н от 02.11.2017</w:t>
      </w:r>
    </w:p>
    <w:p>
      <w:pPr>
        <w:pStyle w:val="Style7"/>
        <w:numPr>
          <w:ilvl w:val="0"/>
          <w:numId w:val="1"/>
        </w:numPr>
        <w:widowControl w:val="0"/>
        <w:keepNext w:val="0"/>
        <w:keepLines w:val="0"/>
        <w:shd w:val="clear" w:color="auto" w:fill="auto"/>
        <w:bidi w:val="0"/>
        <w:jc w:val="left"/>
        <w:spacing w:before="0" w:after="0"/>
        <w:ind w:left="21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300" w:firstLine="0"/>
      </w:pPr>
      <w:r>
        <w:rPr>
          <w:lang w:val="ru-RU" w:eastAsia="ru-RU" w:bidi="ru-RU"/>
          <w:w w:val="100"/>
          <w:spacing w:val="0"/>
          <w:color w:val="000000"/>
          <w:position w:val="0"/>
        </w:rPr>
        <w:t>Государственное бюджетное учреждение Республики Крым «Специализированная детско-юношеская спортивная школа олимпийского резерва по пулевой стрельбе»</w:t>
      </w:r>
    </w:p>
    <w:p>
      <w:pPr>
        <w:pStyle w:val="Style7"/>
        <w:widowControl w:val="0"/>
        <w:keepNext w:val="0"/>
        <w:keepLines w:val="0"/>
        <w:shd w:val="clear" w:color="auto" w:fill="auto"/>
        <w:bidi w:val="0"/>
        <w:jc w:val="left"/>
        <w:spacing w:before="0" w:after="240"/>
        <w:ind w:left="0" w:right="300" w:firstLine="0"/>
      </w:pPr>
      <w:r>
        <w:rPr>
          <w:lang w:val="ru-RU" w:eastAsia="ru-RU" w:bidi="ru-RU"/>
          <w:w w:val="100"/>
          <w:spacing w:val="0"/>
          <w:color w:val="000000"/>
          <w:position w:val="0"/>
        </w:rPr>
        <w:t>295048, Республика Крым, г. Симферополь, ул. Трубаченко, 18б</w:t>
      </w:r>
    </w:p>
    <w:p>
      <w:pPr>
        <w:pStyle w:val="Style7"/>
        <w:numPr>
          <w:ilvl w:val="0"/>
          <w:numId w:val="1"/>
        </w:numPr>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0" w:right="30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ind w:left="4980" w:right="920" w:firstLine="0"/>
      </w:pPr>
      <w:r>
        <w:rPr>
          <w:lang w:val="ru-RU" w:eastAsia="ru-RU" w:bidi="ru-RU"/>
          <w:w w:val="100"/>
          <w:spacing w:val="0"/>
          <w:color w:val="000000"/>
          <w:position w:val="0"/>
        </w:rPr>
        <w:t>295022, Республика Крым, г. Симферополь,</w:t>
      </w:r>
    </w:p>
    <w:p>
      <w:pPr>
        <w:pStyle w:val="Style7"/>
        <w:widowControl w:val="0"/>
        <w:keepNext w:val="0"/>
        <w:keepLines w:val="0"/>
        <w:shd w:val="clear" w:color="auto" w:fill="auto"/>
        <w:bidi w:val="0"/>
        <w:jc w:val="left"/>
        <w:spacing w:before="0" w:after="244"/>
        <w:ind w:left="4980" w:right="0" w:firstLine="0"/>
      </w:pPr>
      <w:r>
        <w:rPr>
          <w:lang w:val="ru-RU" w:eastAsia="ru-RU" w:bidi="ru-RU"/>
          <w:w w:val="100"/>
          <w:spacing w:val="0"/>
          <w:color w:val="000000"/>
          <w:position w:val="0"/>
        </w:rPr>
        <w:t>ул. Кечкеметская, д. 198 (1 этаж)</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ООО «СК «Единство»</w:t>
      </w:r>
    </w:p>
    <w:p>
      <w:pPr>
        <w:pStyle w:val="Style7"/>
        <w:widowControl w:val="0"/>
        <w:keepNext w:val="0"/>
        <w:keepLines w:val="0"/>
        <w:shd w:val="clear" w:color="auto" w:fill="auto"/>
        <w:bidi w:val="0"/>
        <w:jc w:val="left"/>
        <w:spacing w:before="0" w:after="236" w:line="317" w:lineRule="exact"/>
        <w:ind w:left="4980" w:right="920" w:firstLine="0"/>
      </w:pPr>
      <w:r>
        <w:rPr>
          <w:lang w:val="ru-RU" w:eastAsia="ru-RU" w:bidi="ru-RU"/>
          <w:w w:val="100"/>
          <w:spacing w:val="0"/>
          <w:color w:val="000000"/>
          <w:position w:val="0"/>
        </w:rPr>
        <w:t>660075, г. Красноярск, ул. Красной Гвардии, д. 23</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ind w:left="4980" w:right="680" w:firstLine="0"/>
      </w:pPr>
      <w:r>
        <w:rPr>
          <w:lang w:val="ru-RU" w:eastAsia="ru-RU" w:bidi="ru-RU"/>
          <w:w w:val="100"/>
          <w:spacing w:val="0"/>
          <w:color w:val="000000"/>
          <w:position w:val="0"/>
        </w:rPr>
        <w:t>АО «Электронные торговые системы» 123317, г. Москва,</w:t>
      </w:r>
    </w:p>
    <w:p>
      <w:pPr>
        <w:pStyle w:val="Style7"/>
        <w:widowControl w:val="0"/>
        <w:keepNext w:val="0"/>
        <w:keepLines w:val="0"/>
        <w:shd w:val="clear" w:color="auto" w:fill="auto"/>
        <w:bidi w:val="0"/>
        <w:jc w:val="left"/>
        <w:spacing w:before="0" w:after="240"/>
        <w:ind w:left="4980" w:right="0" w:firstLine="0"/>
      </w:pPr>
      <w:r>
        <w:rPr>
          <w:lang w:val="ru-RU" w:eastAsia="ru-RU" w:bidi="ru-RU"/>
          <w:w w:val="100"/>
          <w:spacing w:val="0"/>
          <w:color w:val="000000"/>
          <w:position w:val="0"/>
        </w:rPr>
        <w:t>ул. Тестовская, д. 10, этаж 25</w:t>
      </w:r>
    </w:p>
    <w:p>
      <w:pPr>
        <w:pStyle w:val="Style10"/>
        <w:widowControl w:val="0"/>
        <w:keepNext w:val="0"/>
        <w:keepLines w:val="0"/>
        <w:shd w:val="clear" w:color="auto" w:fill="auto"/>
        <w:bidi w:val="0"/>
        <w:spacing w:before="0" w:after="289"/>
        <w:ind w:left="40" w:right="0" w:firstLine="0"/>
      </w:pPr>
      <w:r>
        <w:rPr>
          <w:lang w:val="ru-RU" w:eastAsia="ru-RU" w:bidi="ru-RU"/>
          <w:w w:val="100"/>
          <w:spacing w:val="0"/>
          <w:color w:val="000000"/>
          <w:position w:val="0"/>
        </w:rPr>
        <w:t>Решение по делу №06/4187-17 о нарушении законодательства Российской Федерации о контрактной системе в сфере закупок</w:t>
      </w:r>
    </w:p>
    <w:p>
      <w:pPr>
        <w:pStyle w:val="Style7"/>
        <w:numPr>
          <w:ilvl w:val="0"/>
          <w:numId w:val="3"/>
        </w:numPr>
        <w:tabs>
          <w:tab w:leader="none" w:pos="8034" w:val="left"/>
          <w:tab w:leader="none" w:pos="8075" w:val="left"/>
        </w:tabs>
        <w:widowControl w:val="0"/>
        <w:keepNext w:val="0"/>
        <w:keepLines w:val="0"/>
        <w:shd w:val="clear" w:color="auto" w:fill="auto"/>
        <w:bidi w:val="0"/>
        <w:jc w:val="both"/>
        <w:spacing w:before="0" w:after="133"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r>
        <w:br w:type="page"/>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Заказчика Р. А. Ковалевского (по доверенности), М. В. Капитаненко (по доверенности), Ю. Н. Морозовой (по доверенности),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Уполномоченного органа И. В. Хованского (по доверенности), представители Заявителя на заседание Комиссии не явились, — рассмотрев жалобу Заявителя от 02.11.2017 (вх. №4772/09 от 02.11.2017) на действия Заказчика при проведении электронного аукциона «Строительно</w:t>
        <w:softHyphen/>
        <w:t>монтажные работы по объекту: «Реконструкция объектов Государственного бюджетного учреждения Республики Крым «Специализированная детско- юношеская спортивная школа олимпийского резерва по пулевой стрельбе»» (номер извещения 0175200000417000430)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7"/>
        <w:numPr>
          <w:ilvl w:val="0"/>
          <w:numId w:val="5"/>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№727/14, зарегистрированного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w:t>
      </w:r>
    </w:p>
    <w:p>
      <w:pPr>
        <w:pStyle w:val="Style7"/>
        <w:numPr>
          <w:ilvl w:val="0"/>
          <w:numId w:val="7"/>
        </w:numPr>
        <w:widowControl w:val="0"/>
        <w:keepNext w:val="0"/>
        <w:keepLines w:val="0"/>
        <w:shd w:val="clear" w:color="auto" w:fill="auto"/>
        <w:bidi w:val="0"/>
        <w:jc w:val="both"/>
        <w:spacing w:before="0" w:after="109"/>
        <w:ind w:left="20" w:right="0" w:firstLine="0"/>
      </w:pPr>
      <w:r>
        <w:rPr>
          <w:lang w:val="ru-RU" w:eastAsia="ru-RU" w:bidi="ru-RU"/>
          <w:w w:val="100"/>
          <w:spacing w:val="0"/>
          <w:color w:val="000000"/>
          <w:position w:val="0"/>
        </w:rPr>
        <w:t xml:space="preserve">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По мнению Заявителя, его права и законные интересы нарушены действиями Заказчика, установившего в техническом задании документации об Аукционе требования к компонентам товара и (или) испытаниям товара и (или) показателям (по позициям: гравий из горных пород, трубы гибкие гофрированные, смесь асфальтобетонная мелкозернистая для плотного асфальтобетона тип В марка </w:t>
      </w:r>
      <w:r>
        <w:rPr>
          <w:lang w:val="en-US" w:eastAsia="en-US" w:bidi="en-US"/>
          <w:w w:val="100"/>
          <w:spacing w:val="0"/>
          <w:color w:val="000000"/>
          <w:position w:val="0"/>
        </w:rPr>
        <w:t xml:space="preserve">II, </w:t>
      </w:r>
      <w:r>
        <w:rPr>
          <w:lang w:val="ru-RU" w:eastAsia="ru-RU" w:bidi="ru-RU"/>
          <w:w w:val="100"/>
          <w:spacing w:val="0"/>
          <w:color w:val="000000"/>
          <w:position w:val="0"/>
        </w:rPr>
        <w:t>жесткий диск, смесь песчано - гравийная природная, камни бортовые БР 100.30.15), используемым при выполнении работ, значения которых становятся известными при испытании определенной партии товара после его производства, что нарушает положения Закона о контрактной системе и приводит к невозможности участниками закупки сформировать и подать заявку на участие в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02.11.2017 №06/12551, направленное Заявителю,</w:t>
      </w:r>
    </w:p>
    <w:p>
      <w:pPr>
        <w:pStyle w:val="Style7"/>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Заседание Комиссии по рассмотрению жалобы назначено на 15:50 08.11.2017.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16:10 09.11.2017.</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26.09.2017, изменения - 17.10.2017;</w:t>
      </w:r>
    </w:p>
    <w:p>
      <w:pPr>
        <w:pStyle w:val="Style7"/>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9"/>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начальная (максимальная) цена контракта - 121 793 530,00 рублей;</w:t>
      </w:r>
    </w:p>
    <w:p>
      <w:pPr>
        <w:pStyle w:val="Style7"/>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дата и время окончания подачи заявок: 02.11.2017 08:00, дата окончания срока рассмотрения первых частей заявок участников: 03.11.2017, дата проведения Аукциона: 07.11.2017;</w:t>
      </w:r>
    </w:p>
    <w:p>
      <w:pPr>
        <w:pStyle w:val="Style7"/>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на участие в Аукционе подано 7 заявок, из них по результатам рассмотрения первых частей заявок участников 6 заявок признаны несоответствующими требованиям документации об Аукционе;</w:t>
      </w:r>
    </w:p>
    <w:p>
      <w:pPr>
        <w:pStyle w:val="Style7"/>
        <w:numPr>
          <w:ilvl w:val="0"/>
          <w:numId w:val="9"/>
        </w:numPr>
        <w:widowControl w:val="0"/>
        <w:keepNext w:val="0"/>
        <w:keepLines w:val="0"/>
        <w:shd w:val="clear" w:color="auto" w:fill="auto"/>
        <w:bidi w:val="0"/>
        <w:jc w:val="both"/>
        <w:spacing w:before="0" w:after="60"/>
        <w:ind w:left="0" w:right="0" w:firstLine="860"/>
      </w:pPr>
      <w:r>
        <w:rPr>
          <w:lang w:val="ru-RU" w:eastAsia="ru-RU" w:bidi="ru-RU"/>
          <w:w w:val="100"/>
          <w:spacing w:val="0"/>
          <w:color w:val="000000"/>
          <w:position w:val="0"/>
        </w:rPr>
        <w:t xml:space="preserve"> Аукцион признан несостоявшимся.</w:t>
      </w:r>
    </w:p>
    <w:p>
      <w:pPr>
        <w:pStyle w:val="Style7"/>
        <w:numPr>
          <w:ilvl w:val="0"/>
          <w:numId w:val="11"/>
        </w:numPr>
        <w:tabs>
          <w:tab w:leader="none" w:pos="1229"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В жалобе Заявитель указывает на то, что Заказчиком, в техническом задании документации об Аукционе установлены требования к компонентам товара и (или) испытаниям товара и (или) показателям (по позициям: гравий из горных пород, трубы гибкие гофрированные, смесь асфальтобетонная мелкозернистая для плотного асфальтобетона тип В марка </w:t>
      </w:r>
      <w:r>
        <w:rPr>
          <w:lang w:val="en-US" w:eastAsia="en-US" w:bidi="en-US"/>
          <w:w w:val="100"/>
          <w:spacing w:val="0"/>
          <w:color w:val="000000"/>
          <w:position w:val="0"/>
        </w:rPr>
        <w:t xml:space="preserve">II, </w:t>
      </w:r>
      <w:r>
        <w:rPr>
          <w:lang w:val="ru-RU" w:eastAsia="ru-RU" w:bidi="ru-RU"/>
          <w:w w:val="100"/>
          <w:spacing w:val="0"/>
          <w:color w:val="000000"/>
          <w:position w:val="0"/>
        </w:rPr>
        <w:t>жесткий диск, смесь песчано - гравийная природная, камни бортовые БР 100.30.15), используемым при выполнении работ, значения которых становятся известными при испытании определенной партии товара после его производства, что нарушает положения Закона о контрактной системе и приводит к невозможности участниками закупки сформировать и подать заявку на участие в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w:t>
      </w:r>
    </w:p>
    <w:p>
      <w:pPr>
        <w:pStyle w:val="Style7"/>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настоящим Федеральным законом.</w:t>
      </w:r>
    </w:p>
    <w:p>
      <w:pPr>
        <w:pStyle w:val="Style7"/>
        <w:widowControl w:val="0"/>
        <w:keepNext w:val="0"/>
        <w:keepLines w:val="0"/>
        <w:shd w:val="clear" w:color="auto" w:fill="auto"/>
        <w:bidi w:val="0"/>
        <w:jc w:val="both"/>
        <w:spacing w:before="0" w:after="219"/>
        <w:ind w:left="20" w:right="2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следующее требование о соответствии товаров, используемых при выполнении работ, по указанным Заявителем в жалобе, например: </w:t>
      </w:r>
      <w:r>
        <w:rPr>
          <w:rStyle w:val="CharStyle13"/>
        </w:rPr>
        <w:t>«...</w:t>
      </w:r>
    </w:p>
    <w:p>
      <w:pPr>
        <w:pStyle w:val="Style14"/>
        <w:widowControl w:val="0"/>
        <w:keepNext w:val="0"/>
        <w:keepLines w:val="0"/>
        <w:shd w:val="clear" w:color="auto" w:fill="auto"/>
        <w:bidi w:val="0"/>
        <w:spacing w:before="0" w:after="180"/>
        <w:ind w:left="20" w:right="20" w:firstLine="860"/>
      </w:pPr>
      <w:r>
        <w:rPr>
          <w:lang w:val="ru-RU" w:eastAsia="ru-RU" w:bidi="ru-RU"/>
          <w:w w:val="100"/>
          <w:spacing w:val="0"/>
          <w:color w:val="000000"/>
          <w:position w:val="0"/>
        </w:rPr>
        <w:t>Камни бортовые БР 100.30.15. ... Допускается использование камней с технологическим уклоном нелицевых вертикальных граней до 5%. Допускается использование камней с закруглением лицевых граней радиусом до 5 мм и нелицевых - до 15 мм. Допускается использование камней с фасками шириной до 10 мм.</w:t>
      </w:r>
    </w:p>
    <w:p>
      <w:pPr>
        <w:pStyle w:val="Style14"/>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Смесь песчано-гравийная природная Наибольшая крупность зерен гравия в природной</w:t>
      </w:r>
    </w:p>
    <w:p>
      <w:pPr>
        <w:pStyle w:val="Style14"/>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песчано-гравийной смеси должна быть не менее 10 мм - не более 70 мм. Смесь должна быть из гравия с маркой дробимости выше 600, маркой истираемости И1.</w:t>
      </w:r>
    </w:p>
    <w:p>
      <w:pPr>
        <w:pStyle w:val="Style7"/>
        <w:widowControl w:val="0"/>
        <w:keepNext w:val="0"/>
        <w:keepLines w:val="0"/>
        <w:shd w:val="clear" w:color="auto" w:fill="auto"/>
        <w:bidi w:val="0"/>
        <w:jc w:val="both"/>
        <w:spacing w:before="0" w:after="0"/>
        <w:ind w:left="20" w:right="0" w:firstLine="860"/>
      </w:pPr>
      <w:r>
        <w:rPr>
          <w:rStyle w:val="CharStyle13"/>
        </w:rPr>
        <w:t>..</w:t>
      </w:r>
      <w:r>
        <w:rPr>
          <w:lang w:val="ru-RU" w:eastAsia="ru-RU" w:bidi="ru-RU"/>
          <w:w w:val="100"/>
          <w:spacing w:val="0"/>
          <w:color w:val="000000"/>
          <w:position w:val="0"/>
        </w:rPr>
        <w:t xml:space="preserve"> » (цитаты).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Следовательно, действия Заказчика, установившего требование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таких обстоятельствах Комиссия приходит к выводу о том, что доводы Заявителя, изложенные в жалобе, нашли свое частичное подтверждение.</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Вместе с тем, выявленные нарушения не повлияли на результаты рассмотрения первых частей заявок участников Аукциона.</w:t>
      </w:r>
    </w:p>
    <w:p>
      <w:pPr>
        <w:pStyle w:val="Style7"/>
        <w:numPr>
          <w:ilvl w:val="0"/>
          <w:numId w:val="11"/>
        </w:numPr>
        <w:tabs>
          <w:tab w:leader="none" w:pos="1192" w:val="left"/>
        </w:tabs>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11"/>
        </w:numPr>
        <w:tabs>
          <w:tab w:leader="none" w:pos="601" w:val="left"/>
        </w:tabs>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w:t>
      </w:r>
    </w:p>
    <w:p>
      <w:pPr>
        <w:pStyle w:val="Style7"/>
        <w:widowControl w:val="0"/>
        <w:keepNext w:val="0"/>
        <w:keepLines w:val="0"/>
        <w:shd w:val="clear" w:color="auto" w:fill="auto"/>
        <w:bidi w:val="0"/>
        <w:jc w:val="both"/>
        <w:spacing w:before="0" w:after="0"/>
        <w:ind w:left="20" w:right="380" w:firstLine="0"/>
      </w:pPr>
      <w:r>
        <w:rPr>
          <w:lang w:val="ru-RU" w:eastAsia="ru-RU" w:bidi="ru-RU"/>
          <w:w w:val="100"/>
          <w:spacing w:val="0"/>
          <w:color w:val="000000"/>
          <w:position w:val="0"/>
        </w:rPr>
        <w:t>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ind w:left="20" w:right="380" w:firstLine="860"/>
      </w:pPr>
      <w:r>
        <w:rPr>
          <w:lang w:val="ru-RU" w:eastAsia="ru-RU" w:bidi="ru-RU"/>
          <w:w w:val="100"/>
          <w:spacing w:val="0"/>
          <w:color w:val="000000"/>
          <w:position w:val="0"/>
        </w:rPr>
        <w:t>Заказчиком в техническом задании документации об Аукционе установлено следующее требование о соответствии товаров, используемых при выполнении работ, по указанным Заявителем в жалобе, например: «.</w:t>
      </w:r>
    </w:p>
    <w:p>
      <w:pPr>
        <w:pStyle w:val="Style14"/>
        <w:widowControl w:val="0"/>
        <w:keepNext w:val="0"/>
        <w:keepLines w:val="0"/>
        <w:shd w:val="clear" w:color="auto" w:fill="auto"/>
        <w:bidi w:val="0"/>
        <w:spacing w:before="0" w:after="0" w:line="547" w:lineRule="exact"/>
        <w:ind w:left="20" w:right="0" w:firstLine="860"/>
      </w:pPr>
      <w:r>
        <w:rPr>
          <w:lang w:val="ru-RU" w:eastAsia="ru-RU" w:bidi="ru-RU"/>
          <w:w w:val="100"/>
          <w:spacing w:val="0"/>
          <w:color w:val="000000"/>
          <w:position w:val="0"/>
        </w:rPr>
        <w:t>Бетон. ... Наибольшая крупность заполнителя: 40 мм..</w:t>
      </w:r>
    </w:p>
    <w:p>
      <w:pPr>
        <w:pStyle w:val="Style14"/>
        <w:widowControl w:val="0"/>
        <w:keepNext w:val="0"/>
        <w:keepLines w:val="0"/>
        <w:shd w:val="clear" w:color="auto" w:fill="auto"/>
        <w:bidi w:val="0"/>
        <w:spacing w:before="0" w:after="0" w:line="547" w:lineRule="exact"/>
        <w:ind w:left="20" w:right="0" w:firstLine="860"/>
      </w:pPr>
      <w:r>
        <w:rPr>
          <w:lang w:val="ru-RU" w:eastAsia="ru-RU" w:bidi="ru-RU"/>
          <w:w w:val="100"/>
          <w:spacing w:val="0"/>
          <w:color w:val="000000"/>
          <w:position w:val="0"/>
        </w:rPr>
        <w:t>Бетон тяжелый, класс В25. ... Наибольшая крупность заполнителя: 20 мм. ...</w:t>
      </w:r>
    </w:p>
    <w:p>
      <w:pPr>
        <w:pStyle w:val="Style14"/>
        <w:widowControl w:val="0"/>
        <w:keepNext w:val="0"/>
        <w:keepLines w:val="0"/>
        <w:shd w:val="clear" w:color="auto" w:fill="auto"/>
        <w:bidi w:val="0"/>
        <w:spacing w:before="0" w:after="0" w:line="547" w:lineRule="exact"/>
        <w:ind w:left="20" w:right="0" w:firstLine="860"/>
      </w:pPr>
      <w:r>
        <w:rPr>
          <w:lang w:val="ru-RU" w:eastAsia="ru-RU" w:bidi="ru-RU"/>
          <w:w w:val="100"/>
          <w:spacing w:val="0"/>
          <w:color w:val="000000"/>
          <w:position w:val="0"/>
        </w:rPr>
        <w:t>Бетон тяжелый, класс В10. ... Наибольшая крупность заполнителя: 20 мм. ...</w:t>
      </w:r>
    </w:p>
    <w:p>
      <w:pPr>
        <w:pStyle w:val="Style14"/>
        <w:widowControl w:val="0"/>
        <w:keepNext w:val="0"/>
        <w:keepLines w:val="0"/>
        <w:shd w:val="clear" w:color="auto" w:fill="auto"/>
        <w:bidi w:val="0"/>
        <w:spacing w:before="0" w:after="0" w:line="547" w:lineRule="exact"/>
        <w:ind w:left="20" w:right="0" w:firstLine="860"/>
      </w:pPr>
      <w:r>
        <w:rPr>
          <w:lang w:val="ru-RU" w:eastAsia="ru-RU" w:bidi="ru-RU"/>
          <w:w w:val="100"/>
          <w:spacing w:val="0"/>
          <w:color w:val="000000"/>
          <w:position w:val="0"/>
        </w:rPr>
        <w:t xml:space="preserve">Светодиодный прожектор. Источник света не менее 30 светодиодов  Световой поток не</w:t>
      </w:r>
    </w:p>
    <w:p>
      <w:pPr>
        <w:pStyle w:val="Style14"/>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менее 590 Лм (для белого).</w:t>
      </w:r>
    </w:p>
    <w:p>
      <w:pPr>
        <w:pStyle w:val="Style7"/>
        <w:widowControl w:val="0"/>
        <w:keepNext w:val="0"/>
        <w:keepLines w:val="0"/>
        <w:shd w:val="clear" w:color="auto" w:fill="auto"/>
        <w:bidi w:val="0"/>
        <w:jc w:val="both"/>
        <w:spacing w:before="0" w:after="0"/>
        <w:ind w:left="20" w:right="0" w:firstLine="860"/>
      </w:pPr>
      <w:r>
        <w:rPr>
          <w:rStyle w:val="CharStyle16"/>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ind w:left="20" w:right="38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ind w:left="20" w:right="380" w:firstLine="860"/>
      </w:pPr>
      <w:r>
        <w:rPr>
          <w:lang w:val="ru-RU" w:eastAsia="ru-RU" w:bidi="ru-RU"/>
          <w:w w:val="100"/>
          <w:spacing w:val="0"/>
          <w:color w:val="000000"/>
          <w:position w:val="0"/>
        </w:rPr>
        <w:t>Следовательно, действия Заказчика, установившего требование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0"/>
        <w:ind w:left="20" w:right="38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0"/>
        <w:ind w:left="20" w:right="380" w:firstLine="860"/>
      </w:pPr>
      <w:r>
        <w:rPr>
          <w:lang w:val="ru-RU" w:eastAsia="ru-RU" w:bidi="ru-RU"/>
          <w:w w:val="100"/>
          <w:spacing w:val="0"/>
          <w:color w:val="000000"/>
          <w:position w:val="0"/>
        </w:rPr>
        <w:t>При таких обстоятельствах Комиссия приходит к выводу о том, что доводы Заявителя, изложенные в жалобе, нашли свое частичное подтверждение.</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Вместе с тем, выявленные нарушения являются формальными и не влияют на результаты рассмотрения первых частей заявок участников и определение поставщика (подрядчика, исполнителя).</w:t>
      </w:r>
    </w:p>
    <w:p>
      <w:pPr>
        <w:pStyle w:val="Style7"/>
        <w:numPr>
          <w:ilvl w:val="1"/>
          <w:numId w:val="15"/>
        </w:numPr>
        <w:tabs>
          <w:tab w:leader="none" w:pos="1455"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изучив документацию об Аукционе, установила, что Заказчиком в техническом задании документации об Аукционе товары (материалы), используемые при выполнении работ по капитальному строительству здания Заказчика, описаны следующим образом: «.</w:t>
      </w:r>
    </w:p>
    <w:p>
      <w:pPr>
        <w:pStyle w:val="Style14"/>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Резиновая плитка по типу "Флекси-Тир". Размер должен быть не менее 500x500мм, толщиной 30-35мм. Плитка должна быть водонепроницаемая. Кол-во шт в 1 м</w:t>
      </w:r>
      <w:r>
        <w:rPr>
          <w:lang w:val="ru-RU" w:eastAsia="ru-RU" w:bidi="ru-RU"/>
          <w:vertAlign w:val="superscript"/>
          <w:w w:val="100"/>
          <w:spacing w:val="0"/>
          <w:color w:val="000000"/>
          <w:position w:val="0"/>
        </w:rPr>
        <w:t>2</w:t>
      </w:r>
      <w:r>
        <w:rPr>
          <w:lang w:val="ru-RU" w:eastAsia="ru-RU" w:bidi="ru-RU"/>
          <w:w w:val="100"/>
          <w:spacing w:val="0"/>
          <w:color w:val="000000"/>
          <w:position w:val="0"/>
        </w:rPr>
        <w:t>: не более 4 шт.</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(цитаты).</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ходе заседания Комиссии представители Заказчика, Уполномоченного органа пояснили, что согласно Инструкции по заполнению первых частей заявок участников, содержащуюся в документации об Аукционе, установлено, что эквивалентность предлагаемого товара будет устанавливаться по комплектности, всем показателям и их значениям, в том числе техническим и функциональным параметрам, установленным в документации об Аукционе. По всем позициям материалов, в которых имеется указание на товарные знаки, следует считать «или эквивалент».</w:t>
      </w:r>
    </w:p>
    <w:p>
      <w:pPr>
        <w:pStyle w:val="Style7"/>
        <w:widowControl w:val="0"/>
        <w:keepNext w:val="0"/>
        <w:keepLines w:val="0"/>
        <w:shd w:val="clear" w:color="auto" w:fill="auto"/>
        <w:bidi w:val="0"/>
        <w:jc w:val="both"/>
        <w:spacing w:before="0" w:after="0"/>
        <w:ind w:left="20" w:right="160" w:firstLine="860"/>
      </w:pPr>
      <w:r>
        <w:rPr>
          <w:lang w:val="ru-RU" w:eastAsia="ru-RU" w:bidi="ru-RU"/>
          <w:w w:val="100"/>
          <w:spacing w:val="0"/>
          <w:color w:val="000000"/>
          <w:position w:val="0"/>
        </w:rPr>
        <w:t>Учитывая приведенное, Комиссия приходит к выводу, что действия Заказчика, указавшего в техническом задании документации об Аукционе торговое наименование товаров, предполагаемых использовать при выполнении работ, без обязательного условия включения в описание объекта закупки слов «или эквивалент», нарушают требования пункта 1 части 1 статьи 33, пункта 2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Вместе с тем, выявленные нарушения являются формальными и не влияют на результаты рассмотрения первых частей заявок участников и определение поставщика (подрядчика, исполнителя).</w:t>
      </w:r>
    </w:p>
    <w:p>
      <w:pPr>
        <w:pStyle w:val="Style7"/>
        <w:numPr>
          <w:ilvl w:val="1"/>
          <w:numId w:val="17"/>
        </w:numPr>
        <w:tabs>
          <w:tab w:leader="none" w:pos="1412"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w:t>
      </w:r>
    </w:p>
    <w:p>
      <w:pPr>
        <w:pStyle w:val="Style7"/>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по контракту.</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1063» (далее -Правила от 30.08.2017 №1042).</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11"/>
        </w:numPr>
        <w:tabs>
          <w:tab w:leader="none" w:pos="1349"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11"/>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11"/>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0" w:line="326" w:lineRule="exact"/>
        <w:ind w:left="0" w:right="20" w:firstLine="840"/>
      </w:pPr>
      <w:r>
        <w:rPr>
          <w:lang w:val="ru-RU" w:eastAsia="ru-RU" w:bidi="ru-RU"/>
          <w:w w:val="100"/>
          <w:spacing w:val="0"/>
          <w:color w:val="000000"/>
          <w:position w:val="0"/>
        </w:rPr>
        <w:t xml:space="preserve">В разделе 12 «ОТВЕТСТВЕННОСТЬ СТОРОН» проекта контракта Заказчик указал следующие сведения о размерах штрафов, пени за ненадлежащее исполнение обязательств по контракту: </w:t>
      </w:r>
      <w:r>
        <w:rPr>
          <w:rStyle w:val="CharStyle16"/>
        </w:rPr>
        <w:t>«...</w:t>
      </w:r>
    </w:p>
    <w:p>
      <w:pPr>
        <w:pStyle w:val="Style14"/>
        <w:numPr>
          <w:ilvl w:val="0"/>
          <w:numId w:val="19"/>
        </w:numPr>
        <w:widowControl w:val="0"/>
        <w:keepNext w:val="0"/>
        <w:keepLines w:val="0"/>
        <w:shd w:val="clear" w:color="auto" w:fill="auto"/>
        <w:bidi w:val="0"/>
        <w:spacing w:before="0" w:after="0"/>
        <w:ind w:left="0" w:right="20" w:firstLine="580"/>
      </w:pPr>
      <w:r>
        <w:rPr>
          <w:lang w:val="ru-RU" w:eastAsia="ru-RU" w:bidi="ru-RU"/>
          <w:w w:val="100"/>
          <w:spacing w:val="0"/>
          <w:color w:val="000000"/>
          <w:position w:val="0"/>
        </w:rPr>
        <w:t xml:space="preserve"> 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pPr>
        <w:pStyle w:val="Style14"/>
        <w:numPr>
          <w:ilvl w:val="0"/>
          <w:numId w:val="19"/>
        </w:numPr>
        <w:widowControl w:val="0"/>
        <w:keepNext w:val="0"/>
        <w:keepLines w:val="0"/>
        <w:shd w:val="clear" w:color="auto" w:fill="auto"/>
        <w:bidi w:val="0"/>
        <w:spacing w:before="0" w:after="0"/>
        <w:ind w:left="0" w:right="20" w:firstLine="580"/>
      </w:pPr>
      <w:r>
        <w:rPr>
          <w:lang w:val="ru-RU" w:eastAsia="ru-RU" w:bidi="ru-RU"/>
          <w:w w:val="100"/>
          <w:spacing w:val="0"/>
          <w:color w:val="000000"/>
          <w:position w:val="0"/>
        </w:rPr>
        <w:t xml:space="preserve"> Заказчик несёт ответственность в соответствии с действующим законодательством Российской Федерации за ненадлежащее выполнение своих обязательств по настоящему Контракту.</w:t>
      </w:r>
    </w:p>
    <w:p>
      <w:pPr>
        <w:pStyle w:val="Style14"/>
        <w:widowControl w:val="0"/>
        <w:keepNext w:val="0"/>
        <w:keepLines w:val="0"/>
        <w:shd w:val="clear" w:color="auto" w:fill="auto"/>
        <w:bidi w:val="0"/>
        <w:spacing w:before="0" w:after="0"/>
        <w:ind w:left="0" w:right="20" w:firstLine="580"/>
      </w:pPr>
      <w:r>
        <w:rPr>
          <w:lang w:val="ru-RU" w:eastAsia="ru-RU" w:bidi="ru-RU"/>
          <w:w w:val="100"/>
          <w:spacing w:val="0"/>
          <w:color w:val="000000"/>
          <w:position w:val="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pPr>
        <w:pStyle w:val="Style14"/>
        <w:numPr>
          <w:ilvl w:val="0"/>
          <w:numId w:val="21"/>
        </w:numPr>
        <w:widowControl w:val="0"/>
        <w:keepNext w:val="0"/>
        <w:keepLines w:val="0"/>
        <w:shd w:val="clear" w:color="auto" w:fill="auto"/>
        <w:bidi w:val="0"/>
        <w:spacing w:before="0" w:after="0"/>
        <w:ind w:left="0" w:right="20" w:firstLine="580"/>
      </w:pPr>
      <w:r>
        <w:rPr>
          <w:lang w:val="ru-RU" w:eastAsia="ru-RU" w:bidi="ru-RU"/>
          <w:w w:val="100"/>
          <w:spacing w:val="0"/>
          <w:color w:val="000000"/>
          <w:position w:val="0"/>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составляет одну трехсотую действующей на дату уплаты пеней ставки рефинансирования Центрального банка Российской Федерации от не уплаченной в срок суммы.</w:t>
      </w:r>
    </w:p>
    <w:p>
      <w:pPr>
        <w:pStyle w:val="Style14"/>
        <w:numPr>
          <w:ilvl w:val="0"/>
          <w:numId w:val="21"/>
        </w:numPr>
        <w:widowControl w:val="0"/>
        <w:keepNext w:val="0"/>
        <w:keepLines w:val="0"/>
        <w:shd w:val="clear" w:color="auto" w:fill="auto"/>
        <w:bidi w:val="0"/>
        <w:spacing w:before="0" w:after="0"/>
        <w:ind w:left="0" w:right="20" w:firstLine="580"/>
      </w:pPr>
      <w:r>
        <w:rPr>
          <w:lang w:val="ru-RU" w:eastAsia="ru-RU" w:bidi="ru-RU"/>
          <w:w w:val="100"/>
          <w:spacing w:val="0"/>
          <w:color w:val="000000"/>
          <w:position w:val="0"/>
        </w:rPr>
        <w:t xml:space="preserve"> В соответствии с Постановлением 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w:t>
      </w:r>
    </w:p>
    <w:p>
      <w:pPr>
        <w:pStyle w:val="Style14"/>
        <w:tabs>
          <w:tab w:leader="underscore" w:pos="8462" w:val="center"/>
          <w:tab w:leader="none" w:pos="9293" w:val="center"/>
          <w:tab w:leader="none" w:pos="10190"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размер штрафа устанавливается в виде фиксированной суммы</w:t>
        <w:tab/>
        <w:t>,</w:t>
        <w:tab/>
        <w:t>определяемой</w:t>
        <w:tab/>
        <w:t>в</w:t>
      </w:r>
    </w:p>
    <w:p>
      <w:pPr>
        <w:pStyle w:val="Style1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следующем порядке:</w:t>
      </w:r>
    </w:p>
    <w:p>
      <w:pPr>
        <w:pStyle w:val="Style14"/>
        <w:widowControl w:val="0"/>
        <w:keepNext w:val="0"/>
        <w:keepLines w:val="0"/>
        <w:shd w:val="clear" w:color="auto" w:fill="auto"/>
        <w:bidi w:val="0"/>
        <w:spacing w:before="0" w:after="0"/>
        <w:ind w:left="0" w:right="0" w:firstLine="58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14"/>
        <w:widowControl w:val="0"/>
        <w:keepNext w:val="0"/>
        <w:keepLines w:val="0"/>
        <w:shd w:val="clear" w:color="auto" w:fill="auto"/>
        <w:bidi w:val="0"/>
        <w:spacing w:before="0" w:after="0"/>
        <w:ind w:left="0" w:right="20" w:firstLine="58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14"/>
        <w:widowControl w:val="0"/>
        <w:keepNext w:val="0"/>
        <w:keepLines w:val="0"/>
        <w:shd w:val="clear" w:color="auto" w:fill="auto"/>
        <w:bidi w:val="0"/>
        <w:spacing w:before="0" w:after="0"/>
        <w:ind w:left="0" w:right="20" w:firstLine="58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14"/>
        <w:widowControl w:val="0"/>
        <w:keepNext w:val="0"/>
        <w:keepLines w:val="0"/>
        <w:shd w:val="clear" w:color="auto" w:fill="auto"/>
        <w:bidi w:val="0"/>
        <w:spacing w:before="0" w:after="0"/>
        <w:ind w:left="0" w:right="0" w:firstLine="580"/>
      </w:pPr>
      <w:r>
        <w:rPr>
          <w:lang w:val="ru-RU" w:eastAsia="ru-RU" w:bidi="ru-RU"/>
          <w:w w:val="100"/>
          <w:spacing w:val="0"/>
          <w:color w:val="000000"/>
          <w:position w:val="0"/>
        </w:rPr>
        <w:t>г) 100000 рублей, если цена контракта превышает 100 млн. рублей.</w:t>
      </w:r>
    </w:p>
    <w:p>
      <w:pPr>
        <w:pStyle w:val="Style14"/>
        <w:numPr>
          <w:ilvl w:val="0"/>
          <w:numId w:val="19"/>
        </w:numPr>
        <w:tabs>
          <w:tab w:leader="none" w:pos="1325" w:val="left"/>
        </w:tabs>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Пеня начисляется за каждый день просрочки исполнения Подрядчиком обязательства, предусмотренного Контрактом, и устанавливается в размере одной трехсотой действующей на дату уплаты пени ставки рефинансирования Центрального банка Российской Федерации (далее - ЦБ РФ)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14"/>
        <w:numPr>
          <w:ilvl w:val="0"/>
          <w:numId w:val="23"/>
        </w:numPr>
        <w:widowControl w:val="0"/>
        <w:keepNext w:val="0"/>
        <w:keepLines w:val="0"/>
        <w:shd w:val="clear" w:color="auto" w:fill="auto"/>
        <w:bidi w:val="0"/>
        <w:spacing w:before="0" w:after="0"/>
        <w:ind w:left="0" w:right="20" w:firstLine="580"/>
      </w:pPr>
      <w:r>
        <w:rPr>
          <w:lang w:val="ru-RU" w:eastAsia="ru-RU" w:bidi="ru-RU"/>
          <w:w w:val="100"/>
          <w:spacing w:val="0"/>
          <w:color w:val="000000"/>
          <w:position w:val="0"/>
        </w:rPr>
        <w:t xml:space="preserve"> Пеня подлежит уплате за весь период просрочки исполнения обязательств, предусмотренных Контрактом.</w:t>
      </w:r>
    </w:p>
    <w:p>
      <w:pPr>
        <w:pStyle w:val="Style14"/>
        <w:numPr>
          <w:ilvl w:val="0"/>
          <w:numId w:val="23"/>
        </w:numPr>
        <w:widowControl w:val="0"/>
        <w:keepNext w:val="0"/>
        <w:keepLines w:val="0"/>
        <w:shd w:val="clear" w:color="auto" w:fill="auto"/>
        <w:bidi w:val="0"/>
        <w:spacing w:before="0" w:after="0"/>
        <w:ind w:left="0" w:right="20" w:firstLine="58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w:t>
      </w:r>
    </w:p>
    <w:p>
      <w:pPr>
        <w:pStyle w:val="Style14"/>
        <w:tabs>
          <w:tab w:leader="underscore" w:pos="10190"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устанавливается в виде фиксированной суммы </w:t>
        <w:tab/>
        <w:t xml:space="preserve"> рублей</w:t>
      </w:r>
    </w:p>
    <w:p>
      <w:pPr>
        <w:pStyle w:val="Style14"/>
        <w:tabs>
          <w:tab w:leader="underscore" w:pos="2952"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w:t>
        <w:tab/>
        <w:t>), определенной в порядке, установленном Постановлением</w:t>
      </w:r>
    </w:p>
    <w:p>
      <w:pPr>
        <w:pStyle w:val="Style1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18"/>
        <w:widowControl w:val="0"/>
        <w:keepNext w:val="0"/>
        <w:keepLines w:val="0"/>
        <w:shd w:val="clear" w:color="auto" w:fill="auto"/>
        <w:bidi w:val="0"/>
        <w:spacing w:before="0" w:after="0"/>
        <w:ind w:left="0" w:right="2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18"/>
        <w:widowControl w:val="0"/>
        <w:keepNext w:val="0"/>
        <w:keepLines w:val="0"/>
        <w:shd w:val="clear" w:color="auto" w:fill="auto"/>
        <w:bidi w:val="0"/>
        <w:spacing w:before="0" w:after="0"/>
        <w:ind w:left="0" w:right="2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18"/>
        <w:widowControl w:val="0"/>
        <w:keepNext w:val="0"/>
        <w:keepLines w:val="0"/>
        <w:shd w:val="clear" w:color="auto" w:fill="auto"/>
        <w:bidi w:val="0"/>
        <w:spacing w:before="0" w:after="0"/>
        <w:ind w:left="0" w:right="2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18"/>
        <w:widowControl w:val="0"/>
        <w:keepNext w:val="0"/>
        <w:keepLines w:val="0"/>
        <w:shd w:val="clear" w:color="auto" w:fill="auto"/>
        <w:bidi w:val="0"/>
        <w:spacing w:before="0" w:after="0"/>
        <w:ind w:left="0" w:right="2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18"/>
        <w:widowControl w:val="0"/>
        <w:keepNext w:val="0"/>
        <w:keepLines w:val="0"/>
        <w:shd w:val="clear" w:color="auto" w:fill="auto"/>
        <w:bidi w:val="0"/>
        <w:spacing w:before="0" w:after="0"/>
        <w:ind w:left="0" w:right="2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18"/>
        <w:tabs>
          <w:tab w:leader="none" w:pos="894" w:val="left"/>
        </w:tabs>
        <w:widowControl w:val="0"/>
        <w:keepNext w:val="0"/>
        <w:keepLines w:val="0"/>
        <w:shd w:val="clear" w:color="auto" w:fill="auto"/>
        <w:bidi w:val="0"/>
        <w:spacing w:before="0" w:after="0"/>
        <w:ind w:left="20" w:right="20"/>
      </w:pPr>
      <w:r>
        <w:rPr>
          <w:lang w:val="ru-RU" w:eastAsia="ru-RU" w:bidi="ru-RU"/>
          <w:w w:val="100"/>
          <w:spacing w:val="0"/>
          <w:color w:val="000000"/>
          <w:position w:val="0"/>
        </w:rPr>
        <w:t>е)</w:t>
        <w:tab/>
        <w:t>0,3 процента цены контракта (этапа) в случае, если цена контракта (этапа) составляет от 1 млрд. рублей до 2 млрд. рублей (включительно);</w:t>
      </w:r>
    </w:p>
    <w:p>
      <w:pPr>
        <w:pStyle w:val="Style14"/>
        <w:numPr>
          <w:ilvl w:val="0"/>
          <w:numId w:val="23"/>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pPr>
        <w:pStyle w:val="Style18"/>
        <w:widowControl w:val="0"/>
        <w:keepNext w:val="0"/>
        <w:keepLines w:val="0"/>
        <w:shd w:val="clear" w:color="auto" w:fill="auto"/>
        <w:bidi w:val="0"/>
        <w:spacing w:before="0" w:after="0"/>
        <w:ind w:left="20" w:right="0"/>
      </w:pPr>
      <w:r>
        <w:rPr>
          <w:lang w:val="ru-RU" w:eastAsia="ru-RU" w:bidi="ru-RU"/>
          <w:w w:val="100"/>
          <w:spacing w:val="0"/>
          <w:color w:val="000000"/>
          <w:position w:val="0"/>
        </w:rPr>
        <w:t>а) 1000 рублей, если цена контракта не превышает 3 млн. рублей;</w:t>
      </w:r>
    </w:p>
    <w:p>
      <w:pPr>
        <w:pStyle w:val="Style18"/>
        <w:widowControl w:val="0"/>
        <w:keepNext w:val="0"/>
        <w:keepLines w:val="0"/>
        <w:shd w:val="clear" w:color="auto" w:fill="auto"/>
        <w:bidi w:val="0"/>
        <w:spacing w:before="0" w:after="0"/>
        <w:ind w:left="20" w:right="2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18"/>
        <w:widowControl w:val="0"/>
        <w:keepNext w:val="0"/>
        <w:keepLines w:val="0"/>
        <w:shd w:val="clear" w:color="auto" w:fill="auto"/>
        <w:bidi w:val="0"/>
        <w:spacing w:before="0" w:after="0"/>
        <w:ind w:left="20" w:right="2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18"/>
        <w:widowControl w:val="0"/>
        <w:keepNext w:val="0"/>
        <w:keepLines w:val="0"/>
        <w:shd w:val="clear" w:color="auto" w:fill="auto"/>
        <w:bidi w:val="0"/>
        <w:spacing w:before="0" w:after="0"/>
        <w:ind w:left="20" w:right="0"/>
      </w:pPr>
      <w:r>
        <w:rPr>
          <w:lang w:val="ru-RU" w:eastAsia="ru-RU" w:bidi="ru-RU"/>
          <w:w w:val="100"/>
          <w:spacing w:val="0"/>
          <w:color w:val="000000"/>
          <w:position w:val="0"/>
        </w:rPr>
        <w:t>г) 100000 рублей, если цена контракта превышает 100 млн. рублей.</w:t>
      </w:r>
    </w:p>
    <w:p>
      <w:pPr>
        <w:pStyle w:val="Style14"/>
        <w:numPr>
          <w:ilvl w:val="0"/>
          <w:numId w:val="23"/>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14"/>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случае если в соответствии с</w:t>
      </w:r>
      <w:r>
        <w:fldChar w:fldCharType="begin"/>
      </w:r>
      <w:r>
        <w:rPr>
          <w:color w:val="000000"/>
        </w:rPr>
        <w:instrText> HYPERLINK "http://internet.garant.ru/document?id=70253464&amp;sub=3060" </w:instrText>
      </w:r>
      <w:r>
        <w:fldChar w:fldCharType="separate"/>
      </w:r>
      <w:r>
        <w:rPr>
          <w:rStyle w:val="Hyperlink"/>
          <w:lang w:val="ru-RU" w:eastAsia="ru-RU" w:bidi="ru-RU"/>
          <w:w w:val="100"/>
          <w:spacing w:val="0"/>
          <w:position w:val="0"/>
        </w:rPr>
        <w:t xml:space="preserve"> </w:t>
      </w:r>
      <w:r>
        <w:rPr>
          <w:rStyle w:val="Hyperlink"/>
        </w:rPr>
        <w:t xml:space="preserve">частью 6 статьи 30 </w:t>
      </w:r>
      <w:r>
        <w:fldChar w:fldCharType="end"/>
      </w:r>
      <w:r>
        <w:rPr>
          <w:lang w:val="ru-RU" w:eastAsia="ru-RU" w:bidi="ru-RU"/>
          <w:w w:val="100"/>
          <w:spacing w:val="0"/>
          <w:color w:val="000000"/>
          <w:position w:val="0"/>
        </w:rPr>
        <w:t>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14"/>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случае непредставления информации обо всех соисполнителях,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 равно как при несвоевременном ее предоставлении такой информации, Подрядчик несет ответственность в виде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Подрядчиком с соисполнителем, субподрядчиком. Пеня подлежит начислению за каждый день просрочки исполнения такого обязательства.</w:t>
      </w:r>
    </w:p>
    <w:p>
      <w:pPr>
        <w:pStyle w:val="Style14"/>
        <w:numPr>
          <w:ilvl w:val="0"/>
          <w:numId w:val="19"/>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Заказчик вправе требовать от Подрядчика уплаты штрафа по каждому факту неисполнения или ненадлежащего исполнения обязательств по Контракту.</w:t>
      </w:r>
    </w:p>
    <w:p>
      <w:pPr>
        <w:pStyle w:val="Style14"/>
        <w:numPr>
          <w:ilvl w:val="0"/>
          <w:numId w:val="19"/>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Пени и штрафы уплачиваются Подрядчиком в добровольном порядке посредством перечисления взыскиваемых сумм в бюджет Республики Крым, по указанным Заказчиком в требовании реквизитам. Подрядчик представляет Заказчику документальное подтверждение такого перечисления в течение 5 (пяти) рабочих дней с даты осуществления платежа.</w:t>
      </w:r>
    </w:p>
    <w:p>
      <w:pPr>
        <w:pStyle w:val="Style14"/>
        <w:numPr>
          <w:ilvl w:val="0"/>
          <w:numId w:val="19"/>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Заказчик вправе зачесть сумму пени и штрафов, в счет сумм платежей, подлежащих уплате Подрядчику по Контракту. В этом случае Заказчик направляет Подрядчику уведомление о зачете, в котором указывается, что зачет требований производится в порядке ст. 410 Гражданского Кодекса Российской Федерации, а также указываются суммы и периоды возникновения обязательств, периоды просрочки.</w:t>
      </w:r>
    </w:p>
    <w:p>
      <w:pPr>
        <w:pStyle w:val="Style14"/>
        <w:numPr>
          <w:ilvl w:val="0"/>
          <w:numId w:val="19"/>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Подрядчиком своих обязательств.</w:t>
      </w:r>
    </w:p>
    <w:p>
      <w:pPr>
        <w:pStyle w:val="Style14"/>
        <w:numPr>
          <w:ilvl w:val="0"/>
          <w:numId w:val="19"/>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Уплата неустоек и возмещение убытков не освобождает Стороны от исполнения своих обязательств по Контракту.</w:t>
      </w:r>
    </w:p>
    <w:p>
      <w:pPr>
        <w:pStyle w:val="Style14"/>
        <w:numPr>
          <w:ilvl w:val="0"/>
          <w:numId w:val="19"/>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Подрядчик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и/или ненадлежащего выполнения Подрядчиком работ в соответствии с Контрактом или вследствие нарушения имущественных или интеллектуальных прав.</w:t>
      </w:r>
    </w:p>
    <w:p>
      <w:pPr>
        <w:pStyle w:val="Style14"/>
        <w:numPr>
          <w:ilvl w:val="0"/>
          <w:numId w:val="19"/>
        </w:numPr>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 xml:space="preserve"> Сторона освобождается от уплаты штрафа (пени), если докажет, что неисполнение или</w:t>
        <w:br w:type="page"/>
        <w:t>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14"/>
        <w:numPr>
          <w:ilvl w:val="0"/>
          <w:numId w:val="19"/>
        </w:numPr>
        <w:tabs>
          <w:tab w:leader="none" w:pos="1374" w:val="left"/>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14"/>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7"/>
        <w:widowControl w:val="0"/>
        <w:keepNext w:val="0"/>
        <w:keepLines w:val="0"/>
        <w:shd w:val="clear" w:color="auto" w:fill="auto"/>
        <w:bidi w:val="0"/>
        <w:jc w:val="both"/>
        <w:spacing w:before="0" w:after="0"/>
        <w:ind w:left="20" w:right="0" w:firstLine="580"/>
      </w:pPr>
      <w:r>
        <w:rPr>
          <w:lang w:val="ru-RU" w:eastAsia="ru-RU" w:bidi="ru-RU"/>
          <w:w w:val="100"/>
          <w:spacing w:val="0"/>
          <w:color w:val="000000"/>
          <w:position w:val="0"/>
        </w:rPr>
        <w:t>.</w:t>
      </w:r>
      <w:r>
        <w:rPr>
          <w:rStyle w:val="CharStyle20"/>
        </w:rPr>
        <w:t>.</w:t>
      </w:r>
      <w:r>
        <w:rPr>
          <w:rStyle w:val="CharStyle16"/>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об Аукционе надлежащие требования о размере штрафа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в соответствии с пунктом 5 Правил от</w:t>
      </w:r>
    </w:p>
    <w:p>
      <w:pPr>
        <w:pStyle w:val="Style7"/>
        <w:numPr>
          <w:ilvl w:val="0"/>
          <w:numId w:val="25"/>
        </w:numPr>
        <w:tabs>
          <w:tab w:leader="none" w:pos="1435" w:val="left"/>
        </w:tabs>
        <w:widowControl w:val="0"/>
        <w:keepNext w:val="0"/>
        <w:keepLines w:val="0"/>
        <w:shd w:val="clear" w:color="auto" w:fill="auto"/>
        <w:bidi w:val="0"/>
        <w:jc w:val="both"/>
        <w:spacing w:before="0" w:after="60"/>
        <w:ind w:left="20" w:right="20" w:firstLine="0"/>
      </w:pPr>
      <w:r>
        <w:rPr>
          <w:lang w:val="ru-RU" w:eastAsia="ru-RU" w:bidi="ru-RU"/>
          <w:w w:val="100"/>
          <w:spacing w:val="0"/>
          <w:color w:val="000000"/>
          <w:position w:val="0"/>
        </w:rPr>
        <w:t>№ 1042, нарушают требования частей 5, 7, 8 статьи 34 Закона о контрактной системе, пункта 5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7"/>
        <w:numPr>
          <w:ilvl w:val="0"/>
          <w:numId w:val="27"/>
        </w:numPr>
        <w:tabs>
          <w:tab w:leader="none" w:pos="1397" w:val="left"/>
        </w:tabs>
        <w:widowControl w:val="0"/>
        <w:keepNext w:val="0"/>
        <w:keepLines w:val="0"/>
        <w:shd w:val="clear" w:color="auto" w:fill="auto"/>
        <w:bidi w:val="0"/>
        <w:jc w:val="both"/>
        <w:spacing w:before="0" w:after="109"/>
        <w:ind w:left="20" w:right="0" w:firstLine="0"/>
      </w:pPr>
      <w:r>
        <w:rPr>
          <w:lang w:val="ru-RU" w:eastAsia="ru-RU" w:bidi="ru-RU"/>
          <w:w w:val="100"/>
          <w:spacing w:val="0"/>
          <w:color w:val="000000"/>
          <w:position w:val="0"/>
        </w:rPr>
        <w:t>№727/14, Комиссия</w:t>
      </w:r>
    </w:p>
    <w:p>
      <w:pPr>
        <w:pStyle w:val="Style7"/>
        <w:widowControl w:val="0"/>
        <w:keepNext w:val="0"/>
        <w:keepLines w:val="0"/>
        <w:shd w:val="clear" w:color="auto" w:fill="auto"/>
        <w:bidi w:val="0"/>
        <w:jc w:val="center"/>
        <w:spacing w:before="0" w:after="68" w:line="260" w:lineRule="exact"/>
        <w:ind w:left="0" w:right="0" w:firstLine="0"/>
      </w:pPr>
      <w:r>
        <w:rPr>
          <w:lang w:val="ru-RU" w:eastAsia="ru-RU" w:bidi="ru-RU"/>
          <w:w w:val="100"/>
          <w:spacing w:val="0"/>
          <w:color w:val="000000"/>
          <w:position w:val="0"/>
        </w:rPr>
        <w:t>РЕШИЛА:</w:t>
      </w:r>
    </w:p>
    <w:p>
      <w:pPr>
        <w:pStyle w:val="Style7"/>
        <w:numPr>
          <w:ilvl w:val="0"/>
          <w:numId w:val="2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2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Признать Заказчика нарушившим требования пункта 1 части 1 статьи 33, частей 5, 7, 8 статьи 34, пункта 2 части 1 статьи 64, части 6 статьи 66 Закона о контрактной системе, пунктов 5 Правил от 30.08.2017 № 1042.</w:t>
      </w:r>
    </w:p>
    <w:p>
      <w:pPr>
        <w:pStyle w:val="Style7"/>
        <w:numPr>
          <w:ilvl w:val="0"/>
          <w:numId w:val="2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2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№06/4187-17 для рассмотрения вопроса о возбуждении дела об административном правонарушении.</w:t>
      </w:r>
    </w:p>
    <w:p>
      <w:pPr>
        <w:pStyle w:val="Style7"/>
        <w:numPr>
          <w:ilvl w:val="0"/>
          <w:numId w:val="29"/>
        </w:numPr>
        <w:widowControl w:val="0"/>
        <w:keepNext w:val="0"/>
        <w:keepLines w:val="0"/>
        <w:shd w:val="clear" w:color="auto" w:fill="auto"/>
        <w:bidi w:val="0"/>
        <w:jc w:val="both"/>
        <w:spacing w:before="0" w:after="64"/>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02.11.2017 №06/12551.</w:t>
      </w:r>
    </w:p>
    <w:p>
      <w:pPr>
        <w:pStyle w:val="Style7"/>
        <w:widowControl w:val="0"/>
        <w:keepNext w:val="0"/>
        <w:keepLines w:val="0"/>
        <w:shd w:val="clear" w:color="auto" w:fill="auto"/>
        <w:bidi w:val="0"/>
        <w:jc w:val="both"/>
        <w:spacing w:before="0" w:after="335"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86" w:val="right"/>
          <w:tab w:leader="none" w:pos="8420" w:val="right"/>
          <w:tab w:leader="none" w:pos="9622" w:val="right"/>
        </w:tabs>
        <w:widowControl w:val="0"/>
        <w:keepNext w:val="0"/>
        <w:keepLines w:val="0"/>
        <w:shd w:val="clear" w:color="auto" w:fill="auto"/>
        <w:bidi w:val="0"/>
        <w:jc w:val="both"/>
        <w:spacing w:before="0" w:after="0" w:line="648"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2" w:val="right"/>
          <w:tab w:leader="none" w:pos="8401" w:val="right"/>
          <w:tab w:leader="none" w:pos="9553" w:val="right"/>
        </w:tabs>
        <w:widowControl w:val="0"/>
        <w:keepNext w:val="0"/>
        <w:keepLines w:val="0"/>
        <w:shd w:val="clear" w:color="auto" w:fill="auto"/>
        <w:bidi w:val="0"/>
        <w:jc w:val="both"/>
        <w:spacing w:before="0" w:after="0" w:line="648"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86"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207" w:val="left"/>
        </w:tabs>
        <w:widowControl w:val="0"/>
        <w:keepNext w:val="0"/>
        <w:keepLines w:val="0"/>
        <w:shd w:val="clear" w:color="auto" w:fill="auto"/>
        <w:bidi w:val="0"/>
        <w:jc w:val="both"/>
        <w:spacing w:before="0" w:after="0" w:line="260" w:lineRule="exact"/>
        <w:ind w:left="5800" w:right="0" w:firstLine="0"/>
        <w:sectPr>
          <w:footnotePr>
            <w:pos w:val="pageBottom"/>
            <w:numFmt w:val="decimal"/>
            <w:numRestart w:val="continuous"/>
          </w:footnotePr>
          <w:type w:val="continuous"/>
          <w:pgSz w:w="11906" w:h="16838"/>
          <w:pgMar w:top="1608" w:left="744" w:right="586" w:bottom="1051"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3"/>
        <w:widowControl w:val="0"/>
        <w:keepNext w:val="0"/>
        <w:keepLines w:val="0"/>
        <w:shd w:val="clear" w:color="auto" w:fill="auto"/>
        <w:bidi w:val="0"/>
        <w:spacing w:before="0"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22"/>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31"/>
        </w:numPr>
        <w:tabs>
          <w:tab w:leader="none" w:pos="1418" w:val="left"/>
        </w:tabs>
        <w:widowControl w:val="0"/>
        <w:keepNext w:val="0"/>
        <w:keepLines w:val="0"/>
        <w:shd w:val="clear" w:color="auto" w:fill="auto"/>
        <w:bidi w:val="0"/>
        <w:jc w:val="left"/>
        <w:spacing w:before="0" w:after="0" w:line="562" w:lineRule="exact"/>
        <w:ind w:left="40" w:right="2060" w:firstLine="0"/>
      </w:pPr>
      <w:r>
        <w:rPr>
          <w:lang w:val="ru-RU" w:eastAsia="ru-RU" w:bidi="ru-RU"/>
          <w:w w:val="100"/>
          <w:spacing w:val="0"/>
          <w:color w:val="000000"/>
          <w:position w:val="0"/>
        </w:rPr>
        <w:t>№06/12881 На № б/н от 02.11.2017</w:t>
      </w:r>
    </w:p>
    <w:p>
      <w:pPr>
        <w:pStyle w:val="Style7"/>
        <w:numPr>
          <w:ilvl w:val="0"/>
          <w:numId w:val="33"/>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Государственное бюджетное учреждение Республики Крым «Специализированная детско-юношеская спортивная школа олимпийского резерва по пулевой стрельбе»</w:t>
      </w:r>
    </w:p>
    <w:p>
      <w:pPr>
        <w:pStyle w:val="Style7"/>
        <w:widowControl w:val="0"/>
        <w:keepNext w:val="0"/>
        <w:keepLines w:val="0"/>
        <w:shd w:val="clear" w:color="auto" w:fill="auto"/>
        <w:bidi w:val="0"/>
        <w:jc w:val="left"/>
        <w:spacing w:before="0" w:after="240"/>
        <w:ind w:left="20" w:right="40" w:firstLine="0"/>
      </w:pPr>
      <w:r>
        <w:rPr>
          <w:lang w:val="ru-RU" w:eastAsia="ru-RU" w:bidi="ru-RU"/>
          <w:w w:val="100"/>
          <w:spacing w:val="0"/>
          <w:color w:val="000000"/>
          <w:position w:val="0"/>
        </w:rPr>
        <w:t>295048, Республика Крым, г. Симферополь, ул. Трубаченко, 18б</w:t>
      </w:r>
    </w:p>
    <w:p>
      <w:pPr>
        <w:pStyle w:val="Style7"/>
        <w:numPr>
          <w:ilvl w:val="0"/>
          <w:numId w:val="33"/>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295022, Республика Крым, г. Симферополь,</w:t>
      </w:r>
    </w:p>
    <w:p>
      <w:pPr>
        <w:pStyle w:val="Style7"/>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ул. Кечкеметская, д. 198 (1 этаж)</w:t>
      </w:r>
    </w:p>
    <w:p>
      <w:pPr>
        <w:pStyle w:val="Style7"/>
        <w:numPr>
          <w:ilvl w:val="0"/>
          <w:numId w:val="33"/>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«СК «Единство»</w:t>
      </w:r>
    </w:p>
    <w:p>
      <w:pPr>
        <w:pStyle w:val="Style7"/>
        <w:widowControl w:val="0"/>
        <w:keepNext w:val="0"/>
        <w:keepLines w:val="0"/>
        <w:shd w:val="clear" w:color="auto" w:fill="auto"/>
        <w:bidi w:val="0"/>
        <w:jc w:val="left"/>
        <w:spacing w:before="0" w:after="0"/>
        <w:ind w:left="20" w:right="40" w:firstLine="0"/>
        <w:sectPr>
          <w:pgSz w:w="11906" w:h="16838"/>
          <w:pgMar w:top="1547" w:left="796" w:right="1074" w:bottom="717" w:header="0" w:footer="3" w:gutter="0"/>
          <w:rtlGutter w:val="0"/>
          <w:cols w:num="2" w:space="102"/>
          <w:noEndnote/>
          <w:docGrid w:linePitch="360"/>
        </w:sectPr>
      </w:pPr>
      <w:r>
        <w:rPr>
          <w:lang w:val="ru-RU" w:eastAsia="ru-RU" w:bidi="ru-RU"/>
          <w:w w:val="100"/>
          <w:spacing w:val="0"/>
          <w:color w:val="000000"/>
          <w:position w:val="0"/>
        </w:rPr>
        <w:t>660075, г. Красноярск, ул. Красной Гвардии, д. 23</w:t>
      </w:r>
    </w:p>
    <w:p>
      <w:pPr>
        <w:widowControl w:val="0"/>
        <w:spacing w:before="45" w:after="4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33"/>
        </w:numPr>
        <w:tabs>
          <w:tab w:leader="none" w:pos="4507" w:val="left"/>
        </w:tabs>
        <w:widowControl w:val="0"/>
        <w:keepNext w:val="0"/>
        <w:keepLines w:val="0"/>
        <w:shd w:val="clear" w:color="auto" w:fill="auto"/>
        <w:bidi w:val="0"/>
        <w:jc w:val="left"/>
        <w:spacing w:before="0" w:after="49" w:line="307" w:lineRule="exact"/>
        <w:ind w:left="4180" w:right="260" w:firstLine="0"/>
      </w:pPr>
      <w:r>
        <w:rPr>
          <w:lang w:val="ru-RU" w:eastAsia="ru-RU" w:bidi="ru-RU"/>
          <w:w w:val="100"/>
          <w:spacing w:val="0"/>
          <w:color w:val="000000"/>
          <w:position w:val="0"/>
        </w:rPr>
        <w:t xml:space="preserve">Оператор электронной площадки: АО «Электронные торговые системы» 123317, г. Москва, </w:t>
      </w:r>
      <w:r>
        <w:rPr>
          <w:rStyle w:val="CharStyle20"/>
        </w:rPr>
        <w:t>ул. Тестовская, д. 10, этаж 25</w:t>
      </w:r>
    </w:p>
    <w:p>
      <w:pPr>
        <w:pStyle w:val="Style10"/>
        <w:widowControl w:val="0"/>
        <w:keepNext w:val="0"/>
        <w:keepLines w:val="0"/>
        <w:shd w:val="clear" w:color="auto" w:fill="auto"/>
        <w:bidi w:val="0"/>
        <w:spacing w:before="0" w:after="0"/>
        <w:ind w:left="0" w:right="0" w:firstLine="0"/>
        <w:sectPr>
          <w:type w:val="continuous"/>
          <w:pgSz w:w="11906" w:h="16838"/>
          <w:pgMar w:top="1547" w:left="1697" w:right="1212" w:bottom="717" w:header="0" w:footer="3" w:gutter="0"/>
          <w:rtlGutter w:val="0"/>
          <w:cols w:space="720"/>
          <w:noEndnote/>
          <w:docGrid w:linePitch="360"/>
        </w:sectPr>
      </w:pPr>
      <w:r>
        <w:rPr>
          <w:lang w:val="ru-RU" w:eastAsia="ru-RU" w:bidi="ru-RU"/>
          <w:w w:val="100"/>
          <w:spacing w:val="0"/>
          <w:color w:val="000000"/>
          <w:position w:val="0"/>
        </w:rPr>
        <w:t>Предписание по делу №06/4187-17 об устранении нарушений законодательства Российской Федерации о контрактной системе в сфере закупок</w:t>
      </w: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26" w:vSpace="336" w:wrap="around" w:vAnchor="text" w:hAnchor="margin" w:x="177" w:y="1"/>
        <w:widowControl w:val="0"/>
        <w:keepNext w:val="0"/>
        <w:keepLines w:val="0"/>
        <w:shd w:val="clear" w:color="auto" w:fill="auto"/>
        <w:bidi w:val="0"/>
        <w:jc w:val="left"/>
        <w:spacing w:before="0" w:after="0" w:line="240" w:lineRule="exact"/>
        <w:ind w:left="100" w:right="0" w:firstLine="0"/>
      </w:pPr>
      <w:r>
        <w:rPr>
          <w:rStyle w:val="CharStyle8"/>
          <w:spacing w:val="0"/>
        </w:rPr>
        <w:t>09.11.2017</w:t>
      </w:r>
    </w:p>
    <w:p>
      <w:pPr>
        <w:pStyle w:val="Style7"/>
        <w:widowControl w:val="0"/>
        <w:keepNext w:val="0"/>
        <w:keepLines w:val="0"/>
        <w:shd w:val="clear" w:color="auto" w:fill="auto"/>
        <w:bidi w:val="0"/>
        <w:jc w:val="right"/>
        <w:spacing w:before="0" w:after="197" w:line="260" w:lineRule="exact"/>
        <w:ind w:left="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17" w:lineRule="exact"/>
        <w:ind w:left="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17" w:lineRule="exact"/>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line="317" w:lineRule="exact"/>
        <w:ind w:left="0" w:right="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r>
        <w:br w:type="page"/>
      </w:r>
    </w:p>
    <w:p>
      <w:pPr>
        <w:pStyle w:val="Style7"/>
        <w:tabs>
          <w:tab w:leader="none" w:pos="4585"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решения Комиссии от 09.11.2017 по делу №06/4187-17 по итогам рассмотрения жалобы Заявителя от 02.11.2017 (вх. №4772/09 от 02.11.2017) на действия Заказчика при проведении аукциона в электронной форме «Строительно</w:t>
        <w:softHyphen/>
        <w:t>монтажные работы по объекту:</w:t>
        <w:tab/>
        <w:t>«Реконструкция объектов Государственного</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бюджетного учреждения Республики Крым «Специализированная детско- юношеская спортивная школа олимпийского резерва по пулевой стрельбе»» (извещение №0175200000417000430)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2"/>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left"/>
        <w:spacing w:before="0" w:after="0"/>
        <w:ind w:left="4360" w:right="0" w:firstLine="0"/>
      </w:pPr>
      <w:r>
        <w:rPr>
          <w:lang w:val="ru-RU" w:eastAsia="ru-RU" w:bidi="ru-RU"/>
          <w:w w:val="100"/>
          <w:spacing w:val="0"/>
          <w:color w:val="000000"/>
          <w:position w:val="0"/>
        </w:rPr>
        <w:t>ПРЕДПИСЫВАЕТ:</w:t>
      </w:r>
    </w:p>
    <w:p>
      <w:pPr>
        <w:pStyle w:val="Style7"/>
        <w:numPr>
          <w:ilvl w:val="0"/>
          <w:numId w:val="35"/>
        </w:numPr>
        <w:tabs>
          <w:tab w:leader="none" w:pos="10218"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w:t>
        <w:tab/>
        <w:t>в соответствие с положениями законодательства Российской Федерации о контрактной системе в сфере закупок и с учетом решения от 09.11.2017 по делу №06/4187-17.</w:t>
      </w:r>
    </w:p>
    <w:p>
      <w:pPr>
        <w:pStyle w:val="Style7"/>
        <w:numPr>
          <w:ilvl w:val="0"/>
          <w:numId w:val="3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в срок до 27.11.2017 исполнить настоящее предписание и предоставить в Крымское </w:t>
      </w:r>
      <w:r>
        <w:rPr>
          <w:rStyle w:val="CharStyle24"/>
        </w:rPr>
        <w:t>УФАС</w:t>
      </w:r>
      <w:r>
        <w:rPr>
          <w:lang w:val="ru-RU" w:eastAsia="ru-RU" w:bidi="ru-RU"/>
          <w:w w:val="100"/>
          <w:spacing w:val="0"/>
          <w:color w:val="000000"/>
          <w:position w:val="0"/>
        </w:rPr>
        <w:t xml:space="preserve">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 @fas .gov.ru</w:t>
      </w:r>
      <w:r>
        <w:rPr>
          <w:rStyle w:val="Hyperlink"/>
          <w:lang w:val="en-US" w:eastAsia="en-US" w:bidi="en-US"/>
          <w:w w:val="100"/>
          <w:spacing w:val="0"/>
          <w:position w:val="0"/>
        </w:rPr>
        <w:t>.</w:t>
      </w:r>
      <w:r>
        <w:fldChar w:fldCharType="end"/>
      </w:r>
    </w:p>
    <w:p>
      <w:pPr>
        <w:pStyle w:val="Style7"/>
        <w:numPr>
          <w:ilvl w:val="0"/>
          <w:numId w:val="35"/>
        </w:numPr>
        <w:tabs>
          <w:tab w:leader="none" w:pos="10218" w:val="right"/>
        </w:tabs>
        <w:widowControl w:val="0"/>
        <w:keepNext w:val="0"/>
        <w:keepLines w:val="0"/>
        <w:shd w:val="clear" w:color="auto" w:fill="auto"/>
        <w:bidi w:val="0"/>
        <w:jc w:val="both"/>
        <w:spacing w:before="0" w:after="0"/>
        <w:ind w:left="20" w:right="2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w:t>
        <w:tab/>
        <w:t>и приостановлении торгов от 02.11.2017 №06/12551.</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tabs>
          <w:tab w:leader="none" w:pos="7746" w:val="left"/>
          <w:tab w:leader="none" w:pos="8415" w:val="right"/>
          <w:tab w:leader="none" w:pos="8584"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 Председатель Комиссии</w:t>
        <w:tab/>
        <w:t>М.</w:t>
        <w:tab/>
        <w:t>С.</w:t>
        <w:tab/>
        <w:t>Муравьёв</w:t>
      </w:r>
    </w:p>
    <w:p>
      <w:pPr>
        <w:pStyle w:val="Style7"/>
        <w:tabs>
          <w:tab w:leader="none" w:pos="7746" w:val="left"/>
          <w:tab w:leader="none" w:pos="8546" w:val="left"/>
          <w:tab w:leader="none" w:pos="8492"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7746" w:val="left"/>
          <w:tab w:leader="none" w:pos="8550" w:val="left"/>
          <w:tab w:leader="none" w:pos="8497"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Член Комиссии:</w:t>
        <w:tab/>
        <w:t>О.</w:t>
        <w:tab/>
        <w:t>А.</w:t>
        <w:tab/>
        <w:t>Шалимова</w:t>
      </w:r>
    </w:p>
    <w:sectPr>
      <w:type w:val="continuous"/>
      <w:pgSz w:w="11906" w:h="16838"/>
      <w:pgMar w:top="1655" w:left="911" w:right="781" w:bottom="10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2"/>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3"/>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2.%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2.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2.3.%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4">
    <w:multiLevelType w:val="multilevel"/>
    <w:lvl w:ilvl="0">
      <w:start w:val="2017"/>
      <w:numFmt w:val="decimal"/>
      <w:lvlText w:val="30.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w:basedOn w:val="CharStyle9"/>
    <w:rPr>
      <w:lang w:val="ru-RU" w:eastAsia="ru-RU" w:bidi="ru-RU"/>
      <w:w w:val="100"/>
      <w:spacing w:val="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w:basedOn w:val="CharStyle9"/>
    <w:rPr>
      <w:lang w:val="ru-RU" w:eastAsia="ru-RU" w:bidi="ru-RU"/>
      <w:w w:val="100"/>
      <w:spacing w:val="0"/>
      <w:color w:val="000000"/>
      <w:position w:val="0"/>
    </w:rPr>
  </w:style>
  <w:style w:type="character" w:customStyle="1" w:styleId="CharStyle17">
    <w:name w:val="Основной текст (5) + Полужирный"/>
    <w:basedOn w:val="CharStyle15"/>
    <w:rPr>
      <w:lang w:val="ru-RU" w:eastAsia="ru-RU" w:bidi="ru-RU"/>
      <w:b/>
      <w:bCs/>
      <w:w w:val="100"/>
      <w:spacing w:val="0"/>
      <w:color w:val="000000"/>
      <w:position w:val="0"/>
    </w:rPr>
  </w:style>
  <w:style w:type="character" w:customStyle="1" w:styleId="CharStyle19">
    <w:name w:val="Основной текст (6)_"/>
    <w:basedOn w:val="DefaultParagraphFont"/>
    <w:link w:val="Style18"/>
    <w:rPr>
      <w:b w:val="0"/>
      <w:bCs w:val="0"/>
      <w:i/>
      <w:iCs/>
      <w:u w:val="none"/>
      <w:strike w:val="0"/>
      <w:smallCaps w:val="0"/>
      <w:sz w:val="23"/>
      <w:szCs w:val="23"/>
      <w:rFonts w:ascii="Times New Roman" w:eastAsia="Times New Roman" w:hAnsi="Times New Roman" w:cs="Times New Roman"/>
    </w:rPr>
  </w:style>
  <w:style w:type="character" w:customStyle="1" w:styleId="CharStyle20">
    <w:name w:val="Основной текст + 11 pt"/>
    <w:basedOn w:val="CharStyle9"/>
    <w:rPr>
      <w:lang w:val="ru-RU" w:eastAsia="ru-RU" w:bidi="ru-RU"/>
      <w:sz w:val="22"/>
      <w:szCs w:val="22"/>
      <w:w w:val="100"/>
      <w:spacing w:val="0"/>
      <w:color w:val="000000"/>
      <w:position w:val="0"/>
    </w:rPr>
  </w:style>
  <w:style w:type="character" w:customStyle="1" w:styleId="CharStyle21">
    <w:name w:val="Основной текст (3)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3)"/>
    <w:basedOn w:val="CharStyle21"/>
    <w:rPr>
      <w:lang w:val="ru-RU" w:eastAsia="ru-RU" w:bidi="ru-RU"/>
      <w:u w:val="single"/>
      <w:w w:val="100"/>
      <w:spacing w:val="0"/>
      <w:color w:val="000000"/>
      <w:position w:val="0"/>
    </w:rPr>
  </w:style>
  <w:style w:type="character" w:customStyle="1" w:styleId="CharStyle23">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24">
    <w:name w:val="Основной текст"/>
    <w:basedOn w:val="CharStyle9"/>
    <w:rPr>
      <w:lang w:val="ru-RU" w:eastAsia="ru-RU" w:bidi="ru-RU"/>
      <w:w w:val="100"/>
      <w:spacing w:val="0"/>
      <w:color w:val="000000"/>
      <w:position w:val="0"/>
    </w:rPr>
  </w:style>
  <w:style w:type="character" w:customStyle="1" w:styleId="CharStyle25">
    <w:name w:val="Основной текст"/>
    <w:basedOn w:val="CharStyle9"/>
    <w:rPr>
      <w:lang w:val="en-US" w:eastAsia="en-US" w:bidi="en-US"/>
      <w:u w:val="single"/>
      <w:w w:val="100"/>
      <w:spacing w:val="0"/>
      <w:color w:val="000000"/>
      <w:position w:val="0"/>
    </w:rPr>
  </w:style>
  <w:style w:type="paragraph" w:customStyle="1" w:styleId="Style3">
    <w:name w:val="Основной текст (3)"/>
    <w:basedOn w:val="Normal"/>
    <w:link w:val="CharStyle21"/>
    <w:pPr>
      <w:widowControl w:val="0"/>
      <w:shd w:val="clear" w:color="auto" w:fill="FFFFFF"/>
      <w:jc w:val="center"/>
      <w:spacing w:after="180"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23"/>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both"/>
      <w:spacing w:before="180" w:after="18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jc w:val="both"/>
      <w:spacing w:line="274" w:lineRule="exact"/>
      <w:ind w:firstLine="58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