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44" w:after="236"/>
        <w:ind w:left="40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left"/>
        <w:spacing w:before="0" w:after="0" w:line="278" w:lineRule="exact"/>
        <w:ind w:left="20" w:right="3840" w:firstLine="1440"/>
      </w:pPr>
      <w:r>
        <w:rPr>
          <w:lang w:val="ru-RU" w:eastAsia="ru-RU" w:bidi="ru-RU"/>
          <w:w w:val="100"/>
          <w:spacing w:val="0"/>
          <w:color w:val="000000"/>
          <w:position w:val="0"/>
        </w:rPr>
        <w:t xml:space="preserve">УПРАВЛЕНИЕ Федеральной антимонопольной службы по </w:t>
      </w:r>
      <w:r>
        <w:rPr>
          <w:rStyle w:val="CharStyle10"/>
          <w:b w:val="0"/>
          <w:bCs w:val="0"/>
        </w:rPr>
        <w:t xml:space="preserve">1- </w:t>
      </w:r>
      <w:r>
        <w:rPr>
          <w:rStyle w:val="CharStyle10"/>
          <w:vertAlign w:val="superscript"/>
          <w:b w:val="0"/>
          <w:bCs w:val="0"/>
        </w:rPr>
        <w:t>Заказчик:</w:t>
      </w:r>
    </w:p>
    <w:p>
      <w:pPr>
        <w:pStyle w:val="Style3"/>
        <w:framePr w:w="4754" w:h="2243" w:wrap="around" w:vAnchor="text" w:hAnchor="margin" w:x="-9" w:y="35"/>
        <w:widowControl w:val="0"/>
        <w:keepNext w:val="0"/>
        <w:keepLines w:val="0"/>
        <w:shd w:val="clear" w:color="auto" w:fill="auto"/>
        <w:bidi w:val="0"/>
        <w:spacing w:before="0" w:after="102" w:line="210" w:lineRule="exact"/>
        <w:ind w:left="0" w:right="100" w:firstLine="0"/>
      </w:pPr>
      <w:r>
        <w:rPr>
          <w:rStyle w:val="CharStyle4"/>
          <w:b/>
          <w:bCs/>
          <w:spacing w:val="0"/>
        </w:rPr>
        <w:t>Республике Крым и городу Севастополю</w:t>
      </w:r>
    </w:p>
    <w:p>
      <w:pPr>
        <w:pStyle w:val="Style5"/>
        <w:framePr w:w="4754" w:h="2243" w:wrap="around" w:vAnchor="text" w:hAnchor="margin" w:x="-9" w:y="35"/>
        <w:widowControl w:val="0"/>
        <w:keepNext w:val="0"/>
        <w:keepLines w:val="0"/>
        <w:shd w:val="clear" w:color="auto" w:fill="auto"/>
        <w:bidi w:val="0"/>
        <w:spacing w:before="0" w:after="0"/>
        <w:ind w:left="0" w:right="10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framePr w:w="4754" w:h="2243" w:wrap="around" w:vAnchor="text" w:hAnchor="margin" w:x="-9" w:y="35"/>
        <w:widowControl w:val="0"/>
        <w:keepNext w:val="0"/>
        <w:keepLines w:val="0"/>
        <w:shd w:val="clear" w:color="auto" w:fill="auto"/>
        <w:bidi w:val="0"/>
        <w:jc w:val="left"/>
        <w:spacing w:before="0" w:after="0" w:line="562" w:lineRule="exact"/>
        <w:ind w:left="20" w:right="2100" w:firstLine="0"/>
      </w:pPr>
      <w:r>
        <w:rPr>
          <w:rStyle w:val="CharStyle8"/>
          <w:spacing w:val="0"/>
        </w:rPr>
        <w:t>13-11.2017 №06/12954 На № 1 от 01.11.2017</w:t>
      </w:r>
    </w:p>
    <w:p>
      <w:pPr>
        <w:pStyle w:val="Style7"/>
        <w:widowControl w:val="0"/>
        <w:keepNext w:val="0"/>
        <w:keepLines w:val="0"/>
        <w:shd w:val="clear" w:color="auto" w:fill="auto"/>
        <w:bidi w:val="0"/>
        <w:jc w:val="left"/>
        <w:spacing w:before="0" w:after="244"/>
        <w:ind w:left="20" w:right="240" w:firstLine="0"/>
      </w:pPr>
      <w:r>
        <w:rPr>
          <w:lang w:val="ru-RU" w:eastAsia="ru-RU" w:bidi="ru-RU"/>
          <w:w w:val="100"/>
          <w:spacing w:val="0"/>
          <w:color w:val="000000"/>
          <w:position w:val="0"/>
        </w:rPr>
        <w:t>Федеральное государственное бюджетное образовательное учреждение «Международный детский центр «Артек» 298645, Республика Крым, г. Ялта, пгт. Гурзуф, ул. Ленинградская, д. 41</w:t>
      </w:r>
    </w:p>
    <w:p>
      <w:pPr>
        <w:pStyle w:val="Style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236" w:line="317" w:lineRule="exact"/>
        <w:ind w:left="5000" w:right="920" w:firstLine="0"/>
      </w:pPr>
      <w:r>
        <w:rPr>
          <w:lang w:val="ru-RU" w:eastAsia="ru-RU" w:bidi="ru-RU"/>
          <w:w w:val="100"/>
          <w:spacing w:val="0"/>
          <w:color w:val="000000"/>
          <w:position w:val="0"/>
        </w:rPr>
        <w:t>Бора Амирхан Феликсович Краснодарский край, г. Краснодар, ул. Крылатская, д. 2, кв. 10</w:t>
      </w:r>
    </w:p>
    <w:p>
      <w:pPr>
        <w:pStyle w:val="Style7"/>
        <w:numPr>
          <w:ilvl w:val="0"/>
          <w:numId w:val="1"/>
        </w:numPr>
        <w:widowControl w:val="0"/>
        <w:keepNext w:val="0"/>
        <w:keepLines w:val="0"/>
        <w:shd w:val="clear" w:color="auto" w:fill="auto"/>
        <w:bidi w:val="0"/>
        <w:jc w:val="left"/>
        <w:spacing w:before="0" w:after="0"/>
        <w:ind w:left="500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5000" w:right="120" w:firstLine="0"/>
      </w:pPr>
      <w:r>
        <w:rPr>
          <w:lang w:val="ru-RU" w:eastAsia="ru-RU" w:bidi="ru-RU"/>
          <w:w w:val="100"/>
          <w:spacing w:val="0"/>
          <w:color w:val="000000"/>
          <w:position w:val="0"/>
        </w:rPr>
        <w:t>ЗАО «Сбербанк - Автоматизированная система торгов»</w:t>
      </w:r>
    </w:p>
    <w:p>
      <w:pPr>
        <w:pStyle w:val="Style7"/>
        <w:widowControl w:val="0"/>
        <w:keepNext w:val="0"/>
        <w:keepLines w:val="0"/>
        <w:shd w:val="clear" w:color="auto" w:fill="auto"/>
        <w:bidi w:val="0"/>
        <w:jc w:val="left"/>
        <w:spacing w:before="0" w:after="225"/>
        <w:ind w:left="5000" w:right="120" w:firstLine="0"/>
      </w:pPr>
      <w:r>
        <w:rPr>
          <w:lang w:val="ru-RU" w:eastAsia="ru-RU" w:bidi="ru-RU"/>
          <w:w w:val="100"/>
          <w:spacing w:val="0"/>
          <w:color w:val="000000"/>
          <w:position w:val="0"/>
        </w:rPr>
        <w:t>119435, г. Москва, Большой Саввинский переулок, д. 12, строение 9</w:t>
      </w:r>
    </w:p>
    <w:p>
      <w:pPr>
        <w:pStyle w:val="Style12"/>
        <w:widowControl w:val="0"/>
        <w:keepNext w:val="0"/>
        <w:keepLines w:val="0"/>
        <w:shd w:val="clear" w:color="auto" w:fill="auto"/>
        <w:bidi w:val="0"/>
        <w:spacing w:before="0" w:after="305"/>
        <w:ind w:left="20" w:right="0" w:firstLine="0"/>
      </w:pPr>
      <w:r>
        <w:rPr>
          <w:lang w:val="ru-RU" w:eastAsia="ru-RU" w:bidi="ru-RU"/>
          <w:w w:val="100"/>
          <w:spacing w:val="0"/>
          <w:color w:val="000000"/>
          <w:position w:val="0"/>
        </w:rPr>
        <w:t>Решение по делу №06/4184-17 о нарушении законодательства Российской Федерации о контрактной системе в сфере закупок</w:t>
      </w:r>
    </w:p>
    <w:p>
      <w:pPr>
        <w:pStyle w:val="Style7"/>
        <w:tabs>
          <w:tab w:leader="none" w:pos="8076"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09-11.2017</w:t>
        <w:tab/>
        <w:t>г. Симферополь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при участии представителя Заказчика А. В. Косых (по доверенности), представители Заявителя на заседание Комиссии не явились, — рассмотрев жалобу Заявителя от 01.11.2017 б/н (вх. №1464/10 от 02.11.2017) на действия Заказчика при проведении аукциона в электронной форме «Оказание</w:t>
      </w:r>
      <w:r>
        <w:br w:type="page"/>
      </w:r>
    </w:p>
    <w:p>
      <w:pPr>
        <w:pStyle w:val="Style7"/>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услуг по санитарному содержанию комплекса детских лагерей "Прибрежный" ФГБОУ "МДЦ "Артек" в 2018 году» (извещение № 0375100001217000400)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осуществления внеплановой проверки в соответствии с пунктом 1 части 15 статьи 99 Закона о контрактной системе, пунктом</w:t>
      </w:r>
    </w:p>
    <w:p>
      <w:pPr>
        <w:pStyle w:val="Style7"/>
        <w:numPr>
          <w:ilvl w:val="1"/>
          <w:numId w:val="1"/>
        </w:numPr>
        <w:tabs>
          <w:tab w:leader="none" w:pos="672" w:val="left"/>
        </w:tabs>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 По мнению Заявителя, его права и законные интересы нарушены следующими действиями Заказчика:</w:t>
      </w:r>
    </w:p>
    <w:p>
      <w:pPr>
        <w:pStyle w:val="Style7"/>
        <w:numPr>
          <w:ilvl w:val="0"/>
          <w:numId w:val="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 предоставил разъяснения положений документации об Аукционе, изменяющие её суть, не внеся изменения.</w:t>
      </w:r>
    </w:p>
    <w:p>
      <w:pPr>
        <w:pStyle w:val="Style7"/>
        <w:numPr>
          <w:ilvl w:val="0"/>
          <w:numId w:val="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 установил ненадлежащую инструкцию по заполнению первой части заявки на участие в Аукционе.</w:t>
      </w:r>
    </w:p>
    <w:p>
      <w:pPr>
        <w:pStyle w:val="Style7"/>
        <w:numPr>
          <w:ilvl w:val="0"/>
          <w:numId w:val="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По позициям №№8, 51, 52, 60, 61 технического задания Заказчик установил избыточные требования, которые могут стать известными только по результатам проведения специальных испытаний определенной партии продукции.</w:t>
      </w:r>
    </w:p>
    <w:p>
      <w:pPr>
        <w:pStyle w:val="Style7"/>
        <w:numPr>
          <w:ilvl w:val="0"/>
          <w:numId w:val="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В проекте контракта не установлен штраф за неисполнение условия о привлечении к исполнению контракта субподрядчиков, соисполнителей из числа СМП, СОНО.</w:t>
      </w:r>
    </w:p>
    <w:p>
      <w:pPr>
        <w:pStyle w:val="Style7"/>
        <w:numPr>
          <w:ilvl w:val="0"/>
          <w:numId w:val="3"/>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В проекте контракта неправильно установлен срок оплаты оказанных</w:t>
      </w:r>
    </w:p>
    <w:p>
      <w:pPr>
        <w:pStyle w:val="Style7"/>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услуг.</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02.11.2017 №06/12548, направленное Заявителю, Заказчику, Оператору электронной площадки и размещенные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lang w:val="en-US" w:eastAsia="en-US" w:bidi="en-US"/>
        </w:rPr>
        <w:t>www.zakupki.gov.ru</w:t>
      </w:r>
      <w:r>
        <w:rPr>
          <w:rStyle w:val="Hyperlink"/>
          <w:lang w:val="en-US" w:eastAsia="en-US" w:bidi="en-US"/>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Заседание Комиссии по рассмотрению жалобы назначено на 1 5:30 08.11.2017.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15:40 09.11.2017.</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результате рассмотрения жалобы и проведения внеплановой проверки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17.10.2017;</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w:t>
      </w:r>
      <w:r>
        <w:rPr>
          <w:rStyle w:val="CharStyle16"/>
        </w:rPr>
        <w:t>56 686 994</w:t>
      </w:r>
      <w:r>
        <w:rPr>
          <w:lang w:val="ru-RU" w:eastAsia="ru-RU" w:bidi="ru-RU"/>
          <w:w w:val="100"/>
          <w:spacing w:val="0"/>
          <w:color w:val="000000"/>
          <w:position w:val="0"/>
        </w:rPr>
        <w:t>,00 рублей;</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02.11.2017 08:00, дата окончания срока рассмотрения первых частей заявок участников: 03.11.2017, дата проведения Аукциона: 07.11.2017;</w:t>
      </w:r>
    </w:p>
    <w:p>
      <w:pPr>
        <w:pStyle w:val="Style7"/>
        <w:numPr>
          <w:ilvl w:val="0"/>
          <w:numId w:val="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на участие в Аукционе подано 6 заявок, все заявки отклонены, Аукцион признан несостоявшимся.</w:t>
      </w:r>
    </w:p>
    <w:p>
      <w:pPr>
        <w:pStyle w:val="Style7"/>
        <w:numPr>
          <w:ilvl w:val="0"/>
          <w:numId w:val="7"/>
        </w:numPr>
        <w:tabs>
          <w:tab w:leader="none" w:pos="1239"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доводу Заявителя о том, что Заказчиком в ЕИС размещены разъяснения положений документации об Аукционе, изменяющие ее суть, при этом Заказчиком не внесены соответствующие изменения в документацию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65 Закона о контрактной системе в течение двух дней с даты поступления от оператора электронной площадки запроса о даче разъяснений положений документации о таком аукционе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5 статьи 65 Закона о контрактной системе разъяснения положений документации об электронном аукционе не должны изменять ее суть.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6 статьи 63 Закона о контрактной системе определено, что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В течение одного дня с даты принятия данного решения заказчик размещает в единой информационной системе указанные изменения. В соответствии с частью 1 статьи 63 Закона о контрактной системе извещение о проведении электронного аукциона размещается заказчиком в единой информационной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На заседании Комиссии установлено, что Заказчиком размещено в ЕИС разъяснение положений документации об электронном аукционе от 31.10.2017 №РД1 следующего содержания: </w:t>
      </w:r>
      <w:r>
        <w:rPr>
          <w:rStyle w:val="CharStyle17"/>
        </w:rPr>
        <w:t>«...</w:t>
      </w:r>
    </w:p>
    <w:tbl>
      <w:tblPr>
        <w:tblOverlap w:val="never"/>
        <w:tblLayout w:type="fixed"/>
        <w:jc w:val="center"/>
      </w:tblPr>
      <w:tblGrid>
        <w:gridCol w:w="576"/>
        <w:gridCol w:w="3398"/>
        <w:gridCol w:w="3403"/>
        <w:gridCol w:w="2986"/>
      </w:tblGrid>
      <w:tr>
        <w:trPr>
          <w:trHeight w:val="912" w:hRule="exact"/>
        </w:trPr>
        <w:tc>
          <w:tcPr>
            <w:shd w:val="clear" w:color="auto" w:fill="FFFFFF"/>
            <w:tcBorders>
              <w:left w:val="single" w:sz="4"/>
              <w:top w:val="single" w:sz="4"/>
            </w:tcBorders>
            <w:vAlign w:val="top"/>
          </w:tcPr>
          <w:p>
            <w:pPr>
              <w:pStyle w:val="Style7"/>
              <w:framePr w:w="10363" w:wrap="notBeside" w:vAnchor="text" w:hAnchor="text" w:xAlign="center" w:y="1"/>
              <w:widowControl w:val="0"/>
              <w:keepNext w:val="0"/>
              <w:keepLines w:val="0"/>
              <w:shd w:val="clear" w:color="auto" w:fill="auto"/>
              <w:bidi w:val="0"/>
              <w:jc w:val="left"/>
              <w:spacing w:before="0" w:after="0" w:line="210" w:lineRule="exact"/>
              <w:ind w:left="40" w:right="0" w:firstLine="0"/>
            </w:pPr>
            <w:r>
              <w:rPr>
                <w:rStyle w:val="CharStyle21"/>
              </w:rPr>
              <w:t>№</w:t>
            </w:r>
            <w:r>
              <w:rPr>
                <w:rStyle w:val="CharStyle22"/>
              </w:rPr>
              <w:t>п/п</w:t>
            </w:r>
          </w:p>
        </w:tc>
        <w:tc>
          <w:tcPr>
            <w:shd w:val="clear" w:color="auto" w:fill="FFFFFF"/>
            <w:tcBorders>
              <w:left w:val="single" w:sz="4"/>
              <w:top w:val="single" w:sz="4"/>
            </w:tcBorders>
            <w:vAlign w:val="top"/>
          </w:tcPr>
          <w:p>
            <w:pPr>
              <w:pStyle w:val="Style7"/>
              <w:framePr w:w="10363" w:wrap="notBeside" w:vAnchor="text" w:hAnchor="text" w:xAlign="center" w:y="1"/>
              <w:widowControl w:val="0"/>
              <w:keepNext w:val="0"/>
              <w:keepLines w:val="0"/>
              <w:shd w:val="clear" w:color="auto" w:fill="auto"/>
              <w:bidi w:val="0"/>
              <w:jc w:val="both"/>
              <w:spacing w:before="0" w:after="0" w:line="226" w:lineRule="exact"/>
              <w:ind w:left="0" w:right="0" w:firstLine="0"/>
            </w:pPr>
            <w:r>
              <w:rPr>
                <w:rStyle w:val="CharStyle22"/>
              </w:rPr>
              <w:t>Раздел документации об аукционе</w:t>
            </w:r>
          </w:p>
        </w:tc>
        <w:tc>
          <w:tcPr>
            <w:shd w:val="clear" w:color="auto" w:fill="FFFFFF"/>
            <w:tcBorders>
              <w:left w:val="single" w:sz="4"/>
              <w:top w:val="single" w:sz="4"/>
            </w:tcBorders>
            <w:vAlign w:val="bottom"/>
          </w:tcPr>
          <w:p>
            <w:pPr>
              <w:pStyle w:val="Style7"/>
              <w:framePr w:w="10363" w:wrap="notBeside" w:vAnchor="text" w:hAnchor="text" w:xAlign="center" w:y="1"/>
              <w:widowControl w:val="0"/>
              <w:keepNext w:val="0"/>
              <w:keepLines w:val="0"/>
              <w:shd w:val="clear" w:color="auto" w:fill="auto"/>
              <w:bidi w:val="0"/>
              <w:jc w:val="both"/>
              <w:spacing w:before="0" w:after="0" w:line="269" w:lineRule="exact"/>
              <w:ind w:left="0" w:right="0" w:firstLine="0"/>
            </w:pPr>
            <w:r>
              <w:rPr>
                <w:rStyle w:val="CharStyle22"/>
              </w:rPr>
              <w:t>Содержание запроса о разъяснении положений документации об аукционе</w:t>
            </w:r>
          </w:p>
        </w:tc>
        <w:tc>
          <w:tcPr>
            <w:shd w:val="clear" w:color="auto" w:fill="FFFFFF"/>
            <w:tcBorders>
              <w:left w:val="single" w:sz="4"/>
              <w:right w:val="single" w:sz="4"/>
              <w:top w:val="single" w:sz="4"/>
            </w:tcBorders>
            <w:vAlign w:val="bottom"/>
          </w:tcPr>
          <w:p>
            <w:pPr>
              <w:pStyle w:val="Style7"/>
              <w:framePr w:w="10363" w:wrap="notBeside" w:vAnchor="text" w:hAnchor="text" w:xAlign="center" w:y="1"/>
              <w:widowControl w:val="0"/>
              <w:keepNext w:val="0"/>
              <w:keepLines w:val="0"/>
              <w:shd w:val="clear" w:color="auto" w:fill="auto"/>
              <w:bidi w:val="0"/>
              <w:jc w:val="both"/>
              <w:spacing w:before="0" w:after="0" w:line="264" w:lineRule="exact"/>
              <w:ind w:left="0" w:right="0" w:firstLine="0"/>
            </w:pPr>
            <w:r>
              <w:rPr>
                <w:rStyle w:val="CharStyle22"/>
              </w:rPr>
              <w:t>Содержание ответа на запрос о разъяснении положений документации</w:t>
            </w:r>
          </w:p>
        </w:tc>
      </w:tr>
      <w:tr>
        <w:trPr>
          <w:trHeight w:val="3648" w:hRule="exact"/>
        </w:trPr>
        <w:tc>
          <w:tcPr>
            <w:shd w:val="clear" w:color="auto" w:fill="FFFFFF"/>
            <w:tcBorders>
              <w:left w:val="single" w:sz="4"/>
              <w:top w:val="single" w:sz="4"/>
              <w:bottom w:val="single" w:sz="4"/>
            </w:tcBorders>
            <w:vAlign w:val="top"/>
          </w:tcPr>
          <w:p>
            <w:pPr>
              <w:pStyle w:val="Style7"/>
              <w:framePr w:w="10363" w:wrap="notBeside" w:vAnchor="text" w:hAnchor="text" w:xAlign="center" w:y="1"/>
              <w:widowControl w:val="0"/>
              <w:keepNext w:val="0"/>
              <w:keepLines w:val="0"/>
              <w:shd w:val="clear" w:color="auto" w:fill="auto"/>
              <w:bidi w:val="0"/>
              <w:jc w:val="left"/>
              <w:spacing w:before="0" w:after="0" w:line="210" w:lineRule="exact"/>
              <w:ind w:left="40" w:right="0" w:firstLine="0"/>
            </w:pPr>
            <w:r>
              <w:rPr>
                <w:rStyle w:val="CharStyle21"/>
              </w:rPr>
              <w:t>1</w:t>
            </w:r>
          </w:p>
        </w:tc>
        <w:tc>
          <w:tcPr>
            <w:shd w:val="clear" w:color="auto" w:fill="FFFFFF"/>
            <w:tcBorders>
              <w:left w:val="single" w:sz="4"/>
              <w:top w:val="single" w:sz="4"/>
              <w:bottom w:val="single" w:sz="4"/>
            </w:tcBorders>
            <w:vAlign w:val="top"/>
          </w:tcPr>
          <w:p>
            <w:pPr>
              <w:pStyle w:val="Style7"/>
              <w:framePr w:w="10363"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1"/>
              </w:rPr>
              <w:t>Сведения о качестве, технических характеристиках товара, его безопасности, функциональных характери стихах (потребительских свойствах) товара, предлагаемого к использованию при оказании услуг, и иные сведения о товаре, представление которых предусмотрено документацией об аукционе в электронной форме</w:t>
            </w:r>
          </w:p>
        </w:tc>
        <w:tc>
          <w:tcPr>
            <w:shd w:val="clear" w:color="auto" w:fill="FFFFFF"/>
            <w:tcBorders>
              <w:left w:val="single" w:sz="4"/>
              <w:top w:val="single" w:sz="4"/>
              <w:bottom w:val="single" w:sz="4"/>
            </w:tcBorders>
            <w:vAlign w:val="top"/>
          </w:tcPr>
          <w:p>
            <w:pPr>
              <w:pStyle w:val="Style7"/>
              <w:framePr w:w="10363" w:wrap="notBeside" w:vAnchor="text" w:hAnchor="text" w:xAlign="center" w:y="1"/>
              <w:widowControl w:val="0"/>
              <w:keepNext w:val="0"/>
              <w:keepLines w:val="0"/>
              <w:shd w:val="clear" w:color="auto" w:fill="auto"/>
              <w:bidi w:val="0"/>
              <w:jc w:val="both"/>
              <w:spacing w:before="0" w:after="0" w:line="288" w:lineRule="exact"/>
              <w:ind w:left="0" w:right="0" w:firstLine="420"/>
            </w:pPr>
            <w:r>
              <w:rPr>
                <w:rStyle w:val="CharStyle21"/>
              </w:rPr>
              <w:t xml:space="preserve">1. Просим проверить Заказчика требование к товару №9 Бумага туалетная тип 2: "диаметр рулона должен быть 12,8 см". Поставщики бумаги для системы </w:t>
            </w:r>
            <w:r>
              <w:rPr>
                <w:rStyle w:val="CharStyle21"/>
                <w:lang w:val="en-US" w:eastAsia="en-US" w:bidi="en-US"/>
              </w:rPr>
              <w:t xml:space="preserve">"TORK" </w:t>
            </w:r>
            <w:r>
              <w:rPr>
                <w:rStyle w:val="CharStyle21"/>
              </w:rPr>
              <w:t>предлагают бумагу с диаметром рулона исключительно 15,8 см. Просим внести соответствующие изменения в ТЗ.</w:t>
            </w:r>
          </w:p>
        </w:tc>
        <w:tc>
          <w:tcPr>
            <w:shd w:val="clear" w:color="auto" w:fill="FFFFFF"/>
            <w:tcBorders>
              <w:left w:val="single" w:sz="4"/>
              <w:right w:val="single" w:sz="4"/>
              <w:top w:val="single" w:sz="4"/>
              <w:bottom w:val="single" w:sz="4"/>
            </w:tcBorders>
            <w:vAlign w:val="top"/>
          </w:tcPr>
          <w:p>
            <w:pPr>
              <w:pStyle w:val="Style7"/>
              <w:framePr w:w="10363"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1"/>
              </w:rPr>
              <w:t>Уваж</w:t>
            </w:r>
            <w:r>
              <w:rPr>
                <w:rStyle w:val="CharStyle22"/>
              </w:rPr>
              <w:t>а</w:t>
            </w:r>
            <w:r>
              <w:rPr>
                <w:rStyle w:val="CharStyle21"/>
              </w:rPr>
              <w:t>емый участник! На Ваш запрос сообщаем. При формировании аукционной документации возникла техническая ошибка. Просим читать требование к товару №9 «Бумага туалетная тип 2»: «диаметр рулона должен быть 15,8 см» (а не 12,8 см).</w:t>
            </w:r>
          </w:p>
        </w:tc>
      </w:tr>
    </w:tbl>
    <w:p>
      <w:pPr>
        <w:pStyle w:val="Style18"/>
        <w:framePr w:w="10363"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0"/>
        </w:rPr>
        <w:t>...»</w:t>
      </w:r>
      <w:r>
        <w:rPr>
          <w:lang w:val="ru-RU" w:eastAsia="ru-RU" w:bidi="ru-RU"/>
          <w:w w:val="100"/>
          <w:spacing w:val="0"/>
          <w:color w:val="000000"/>
          <w:position w:val="0"/>
        </w:rPr>
        <w:t xml:space="preserve"> (цитата).</w:t>
      </w:r>
    </w:p>
    <w:p>
      <w:pPr>
        <w:widowControl w:val="0"/>
        <w:rPr>
          <w:sz w:val="2"/>
          <w:szCs w:val="2"/>
        </w:rPr>
      </w:pPr>
    </w:p>
    <w:p>
      <w:pPr>
        <w:pStyle w:val="Style7"/>
        <w:widowControl w:val="0"/>
        <w:keepNext w:val="0"/>
        <w:keepLines w:val="0"/>
        <w:shd w:val="clear" w:color="auto" w:fill="auto"/>
        <w:bidi w:val="0"/>
        <w:jc w:val="both"/>
        <w:spacing w:before="0" w:after="0"/>
        <w:ind w:left="160" w:right="20" w:firstLine="860"/>
      </w:pPr>
      <w:r>
        <w:rPr>
          <w:lang w:val="ru-RU" w:eastAsia="ru-RU" w:bidi="ru-RU"/>
          <w:w w:val="100"/>
          <w:spacing w:val="0"/>
          <w:color w:val="000000"/>
          <w:position w:val="0"/>
        </w:rPr>
        <w:t>На заседании Комиссии представитель Заказчика пояснил, что при рассмотрении поступивших заявок Единая комиссия Заказчика не учитывала установленный Заказчиком вышеуказанный показатель.</w:t>
      </w:r>
    </w:p>
    <w:p>
      <w:pPr>
        <w:pStyle w:val="Style7"/>
        <w:widowControl w:val="0"/>
        <w:keepNext w:val="0"/>
        <w:keepLines w:val="0"/>
        <w:shd w:val="clear" w:color="auto" w:fill="auto"/>
        <w:bidi w:val="0"/>
        <w:jc w:val="both"/>
        <w:spacing w:before="0" w:after="0"/>
        <w:ind w:left="160" w:right="20" w:firstLine="860"/>
      </w:pPr>
      <w:r>
        <w:rPr>
          <w:lang w:val="ru-RU" w:eastAsia="ru-RU" w:bidi="ru-RU"/>
          <w:w w:val="100"/>
          <w:spacing w:val="0"/>
          <w:color w:val="000000"/>
          <w:position w:val="0"/>
        </w:rPr>
        <w:t>Учитывая изложенное, Комиссия приходит к выводу о том, что указанное разъяснение положений документации об Аукционе №РД1, размещенное в ЕИС</w:t>
      </w:r>
    </w:p>
    <w:p>
      <w:pPr>
        <w:pStyle w:val="Style7"/>
        <w:numPr>
          <w:ilvl w:val="0"/>
          <w:numId w:val="9"/>
        </w:numPr>
        <w:tabs>
          <w:tab w:leader="none" w:pos="1543" w:val="left"/>
        </w:tabs>
        <w:widowControl w:val="0"/>
        <w:keepNext w:val="0"/>
        <w:keepLines w:val="0"/>
        <w:shd w:val="clear" w:color="auto" w:fill="auto"/>
        <w:bidi w:val="0"/>
        <w:jc w:val="both"/>
        <w:spacing w:before="0" w:after="0"/>
        <w:ind w:left="160" w:right="20" w:firstLine="0"/>
      </w:pPr>
      <w:r>
        <w:rPr>
          <w:lang w:val="ru-RU" w:eastAsia="ru-RU" w:bidi="ru-RU"/>
          <w:w w:val="100"/>
          <w:spacing w:val="0"/>
          <w:color w:val="000000"/>
          <w:position w:val="0"/>
        </w:rPr>
        <w:t>изменяет положения документации об Аукционе в разъясняемой части, и нарушают часть 5 статьи 65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ind w:left="160" w:right="0" w:firstLine="860"/>
      </w:pPr>
      <w:r>
        <w:rPr>
          <w:lang w:val="ru-RU" w:eastAsia="ru-RU" w:bidi="ru-RU"/>
          <w:w w:val="100"/>
          <w:spacing w:val="0"/>
          <w:color w:val="000000"/>
          <w:position w:val="0"/>
        </w:rPr>
        <w:t>Таким образом, довод Заявителя нашел свое подтверждение.</w:t>
      </w:r>
    </w:p>
    <w:p>
      <w:pPr>
        <w:pStyle w:val="Style7"/>
        <w:numPr>
          <w:ilvl w:val="0"/>
          <w:numId w:val="7"/>
        </w:numPr>
        <w:tabs>
          <w:tab w:leader="none" w:pos="1434" w:val="left"/>
        </w:tabs>
        <w:widowControl w:val="0"/>
        <w:keepNext w:val="0"/>
        <w:keepLines w:val="0"/>
        <w:shd w:val="clear" w:color="auto" w:fill="auto"/>
        <w:bidi w:val="0"/>
        <w:jc w:val="both"/>
        <w:spacing w:before="0" w:after="0"/>
        <w:ind w:left="160" w:right="20" w:firstLine="860"/>
      </w:pPr>
      <w:r>
        <w:rPr>
          <w:lang w:val="ru-RU" w:eastAsia="ru-RU" w:bidi="ru-RU"/>
          <w:w w:val="100"/>
          <w:spacing w:val="0"/>
          <w:color w:val="000000"/>
          <w:position w:val="0"/>
        </w:rPr>
        <w:t>В качестве довода жалобы Заявитель указывает на то, что Заказчик в документации об Аукционе установил ненадлежащую инструкцию по заполнению первой части заявки на участие в Аукционе, виду применения словосочетания «и т.п.».</w:t>
      </w:r>
    </w:p>
    <w:p>
      <w:pPr>
        <w:pStyle w:val="Style7"/>
        <w:widowControl w:val="0"/>
        <w:keepNext w:val="0"/>
        <w:keepLines w:val="0"/>
        <w:shd w:val="clear" w:color="auto" w:fill="auto"/>
        <w:bidi w:val="0"/>
        <w:jc w:val="both"/>
        <w:spacing w:before="0" w:after="0"/>
        <w:ind w:left="16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w:t>
      </w:r>
      <w:r>
        <w:rPr>
          <w:lang w:val="ru-RU" w:eastAsia="ru-RU" w:bidi="ru-RU"/>
          <w:w w:val="100"/>
          <w:spacing w:val="0"/>
          <w:color w:val="000000"/>
          <w:position w:val="0"/>
        </w:rPr>
        <w:t xml:space="preserve"> частями 3</w:t>
      </w:r>
      <w:r>
        <w:rPr>
          <w:lang w:val="ru-RU" w:eastAsia="ru-RU" w:bidi="ru-RU"/>
          <w:w w:val="100"/>
          <w:spacing w:val="0"/>
          <w:color w:val="000000"/>
          <w:position w:val="0"/>
        </w:rPr>
        <w:t xml:space="preserve"> -</w:t>
      </w:r>
      <w:r>
        <w:rPr>
          <w:lang w:val="ru-RU" w:eastAsia="ru-RU" w:bidi="ru-RU"/>
          <w:w w:val="100"/>
          <w:spacing w:val="0"/>
          <w:color w:val="000000"/>
          <w:position w:val="0"/>
        </w:rPr>
        <w:t xml:space="preserve"> 6 статьи 66 </w:t>
      </w:r>
      <w:r>
        <w:rPr>
          <w:lang w:val="ru-RU" w:eastAsia="ru-RU" w:bidi="ru-RU"/>
          <w:w w:val="100"/>
          <w:spacing w:val="0"/>
          <w:color w:val="000000"/>
          <w:position w:val="0"/>
        </w:rPr>
        <w:t>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160" w:right="20" w:firstLine="8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line="346" w:lineRule="exact"/>
        <w:ind w:left="160" w:right="20" w:firstLine="860"/>
      </w:pPr>
      <w:r>
        <w:rPr>
          <w:lang w:val="ru-RU" w:eastAsia="ru-RU" w:bidi="ru-RU"/>
          <w:w w:val="100"/>
          <w:spacing w:val="0"/>
          <w:color w:val="000000"/>
          <w:position w:val="0"/>
        </w:rPr>
        <w:t>Согласно извещению, документации об Аукционе объектом закупки является оказание услуг по санитарному содержанию комплекса детских лагерей.</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 соответствии с подпунктом «б»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w:t>
      </w:r>
      <w:r>
        <w:rPr>
          <w:lang w:val="ru-RU" w:eastAsia="ru-RU" w:bidi="ru-RU"/>
          <w:w w:val="100"/>
          <w:spacing w:val="0"/>
          <w:color w:val="000000"/>
          <w:position w:val="0"/>
        </w:rPr>
        <w:t xml:space="preserve"> пунктом 2 </w:t>
      </w:r>
      <w:r>
        <w:rPr>
          <w:lang w:val="ru-RU" w:eastAsia="ru-RU" w:bidi="ru-RU"/>
          <w:w w:val="100"/>
          <w:spacing w:val="0"/>
          <w:color w:val="000000"/>
          <w:position w:val="0"/>
        </w:rPr>
        <w:t>части 3 статьи 66 Закона о контрактной,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На заседании Комиссии представитель Заказчика в доводы Заявителя пояснил, что инструкция по заполнению первой части заявки содержит описание применения словосочетаний и знаков, предусмотренных в техническом задании.</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о невозможности подготовки заявки на участие в Аукционе и свидетельствующих о том, что данным условием Заказчик ограничил круг участников Аукциона.</w:t>
      </w:r>
    </w:p>
    <w:p>
      <w:pPr>
        <w:pStyle w:val="Style7"/>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7"/>
        <w:numPr>
          <w:ilvl w:val="0"/>
          <w:numId w:val="7"/>
        </w:numPr>
        <w:tabs>
          <w:tab w:leader="none" w:pos="1239"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доводу Заявителя о том, что Заказчиком в документации об Аукционе по позициям №№ 8, 51, 52, 60, 61 технического задания установлены избыточные требования, которые могут стать известными только по результатам проведения специальных испытаний определенной партии продукции.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пунктов 1,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w:t>
      </w:r>
      <w:r>
        <w:fldChar w:fldCharType="begin"/>
      </w:r>
      <w:r>
        <w:rPr>
          <w:color w:val="000000"/>
        </w:rPr>
        <w:instrText> HYPERLINK "http://www.consultant.ru/document/cons_doc_LAW_144624/d6aec91603ff628ea274b8552ce2849e06e0aa4c/%23dst100386" </w:instrText>
      </w:r>
      <w:r>
        <w:fldChar w:fldCharType="separate"/>
      </w:r>
      <w:r>
        <w:rPr>
          <w:rStyle w:val="Hyperlink"/>
          <w:lang w:val="ru-RU" w:eastAsia="ru-RU" w:bidi="ru-RU"/>
          <w:w w:val="100"/>
          <w:spacing w:val="0"/>
          <w:position w:val="0"/>
        </w:rPr>
        <w:t xml:space="preserve"> статьей 33 </w:t>
      </w:r>
      <w:r>
        <w:fldChar w:fldCharType="end"/>
      </w:r>
      <w:r>
        <w:rPr>
          <w:lang w:val="ru-RU" w:eastAsia="ru-RU" w:bidi="ru-RU"/>
          <w:w w:val="100"/>
          <w:spacing w:val="0"/>
          <w:color w:val="000000"/>
          <w:position w:val="0"/>
        </w:rPr>
        <w:t>настоящего Федерального закона, в том числе обоснование начальной (максимальной) цены контракта;</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w:t>
      </w:r>
      <w:r>
        <w:fldChar w:fldCharType="begin"/>
      </w:r>
      <w:r>
        <w:rPr>
          <w:color w:val="000000"/>
        </w:rPr>
        <w:instrText> HYPERLINK "http://www.consultant.ru/document/cons_doc_LAW_144624/1cae86666aac2a3bc0b45916a0bbc0795cc340a2/%23dst100847" </w:instrText>
      </w:r>
      <w:r>
        <w:fldChar w:fldCharType="separate"/>
      </w:r>
      <w:r>
        <w:rPr>
          <w:rStyle w:val="Hyperlink"/>
          <w:lang w:val="ru-RU" w:eastAsia="ru-RU" w:bidi="ru-RU"/>
          <w:w w:val="100"/>
          <w:spacing w:val="0"/>
          <w:position w:val="0"/>
        </w:rPr>
        <w:t xml:space="preserve"> частями 3 </w:t>
      </w:r>
      <w:r>
        <w:fldChar w:fldCharType="end"/>
      </w:r>
      <w:r>
        <w:rPr>
          <w:lang w:val="ru-RU" w:eastAsia="ru-RU" w:bidi="ru-RU"/>
          <w:w w:val="100"/>
          <w:spacing w:val="0"/>
          <w:color w:val="000000"/>
          <w:position w:val="0"/>
        </w:rPr>
        <w:t>-</w:t>
      </w:r>
      <w:r>
        <w:fldChar w:fldCharType="begin"/>
      </w:r>
      <w:r>
        <w:rPr>
          <w:color w:val="000000"/>
        </w:rPr>
        <w:instrText> HYPERLINK "http://www.consultant.ru/document/cons_doc_LAW_144624/1cae86666aac2a3bc0b45916a0bbc0795cc340a2/%23dst100863" </w:instrText>
      </w:r>
      <w:r>
        <w:fldChar w:fldCharType="separate"/>
      </w:r>
      <w:r>
        <w:rPr>
          <w:rStyle w:val="Hyperlink"/>
          <w:lang w:val="ru-RU" w:eastAsia="ru-RU" w:bidi="ru-RU"/>
          <w:w w:val="100"/>
          <w:spacing w:val="0"/>
          <w:position w:val="0"/>
        </w:rPr>
        <w:t xml:space="preserve"> 6 статьи 66 </w:t>
      </w:r>
      <w:r>
        <w:fldChar w:fldCharType="end"/>
      </w:r>
      <w:r>
        <w:rPr>
          <w:lang w:val="ru-RU" w:eastAsia="ru-RU" w:bidi="ru-RU"/>
          <w:w w:val="100"/>
          <w:spacing w:val="0"/>
          <w:color w:val="000000"/>
          <w:position w:val="0"/>
        </w:rPr>
        <w:t>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пунктов 1,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w:t>
      </w:r>
      <w:r>
        <w:fldChar w:fldCharType="begin"/>
      </w:r>
      <w:r>
        <w:rPr>
          <w:color w:val="000000"/>
        </w:rPr>
        <w:instrText> HYPERLINK "http://www.consultant.ru/document/cons_doc_LAW_144624/d6aec91603ff628ea274b8552ce2849e06e0aa4c/%23dst100386" </w:instrText>
      </w:r>
      <w:r>
        <w:fldChar w:fldCharType="separate"/>
      </w:r>
      <w:r>
        <w:rPr>
          <w:rStyle w:val="Hyperlink"/>
          <w:lang w:val="ru-RU" w:eastAsia="ru-RU" w:bidi="ru-RU"/>
          <w:w w:val="100"/>
          <w:spacing w:val="0"/>
          <w:position w:val="0"/>
        </w:rPr>
        <w:t xml:space="preserve"> статьей 33 </w:t>
      </w:r>
      <w:r>
        <w:fldChar w:fldCharType="end"/>
      </w:r>
      <w:r>
        <w:rPr>
          <w:lang w:val="ru-RU" w:eastAsia="ru-RU" w:bidi="ru-RU"/>
          <w:w w:val="100"/>
          <w:spacing w:val="0"/>
          <w:color w:val="000000"/>
          <w:position w:val="0"/>
        </w:rPr>
        <w:t>настоящего Федерального закона, в том числе обоснование начальной (максимальной) цены контракта;</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w:t>
      </w:r>
      <w:r>
        <w:fldChar w:fldCharType="begin"/>
      </w:r>
      <w:r>
        <w:rPr>
          <w:color w:val="000000"/>
        </w:rPr>
        <w:instrText> HYPERLINK "http://www.consultant.ru/document/cons_doc_LAW_144624/1cae86666aac2a3bc0b45916a0bbc0795cc340a2/%23dst100847" </w:instrText>
      </w:r>
      <w:r>
        <w:fldChar w:fldCharType="separate"/>
      </w:r>
      <w:r>
        <w:rPr>
          <w:rStyle w:val="Hyperlink"/>
          <w:lang w:val="ru-RU" w:eastAsia="ru-RU" w:bidi="ru-RU"/>
          <w:w w:val="100"/>
          <w:spacing w:val="0"/>
          <w:position w:val="0"/>
        </w:rPr>
        <w:t xml:space="preserve"> частями 3 </w:t>
      </w:r>
      <w:r>
        <w:fldChar w:fldCharType="end"/>
      </w:r>
      <w:r>
        <w:rPr>
          <w:lang w:val="ru-RU" w:eastAsia="ru-RU" w:bidi="ru-RU"/>
          <w:w w:val="100"/>
          <w:spacing w:val="0"/>
          <w:color w:val="000000"/>
          <w:position w:val="0"/>
        </w:rPr>
        <w:t>-</w:t>
      </w:r>
      <w:r>
        <w:fldChar w:fldCharType="begin"/>
      </w:r>
      <w:r>
        <w:rPr>
          <w:color w:val="000000"/>
        </w:rPr>
        <w:instrText> HYPERLINK "http://www.consultant.ru/document/cons_doc_LAW_144624/1cae86666aac2a3bc0b45916a0bbc0795cc340a2/%23dst100863" </w:instrText>
      </w:r>
      <w:r>
        <w:fldChar w:fldCharType="separate"/>
      </w:r>
      <w:r>
        <w:rPr>
          <w:rStyle w:val="Hyperlink"/>
          <w:lang w:val="ru-RU" w:eastAsia="ru-RU" w:bidi="ru-RU"/>
          <w:w w:val="100"/>
          <w:spacing w:val="0"/>
          <w:position w:val="0"/>
        </w:rPr>
        <w:t xml:space="preserve"> 6 статьи 66 </w:t>
      </w:r>
      <w:r>
        <w:fldChar w:fldCharType="end"/>
      </w:r>
      <w:r>
        <w:rPr>
          <w:lang w:val="ru-RU" w:eastAsia="ru-RU" w:bidi="ru-RU"/>
          <w:w w:val="100"/>
          <w:spacing w:val="0"/>
          <w:color w:val="000000"/>
          <w:position w:val="0"/>
        </w:rPr>
        <w:t>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46" w:lineRule="exact"/>
        <w:ind w:left="20" w:right="20" w:firstLine="860"/>
      </w:pPr>
      <w:r>
        <w:rPr>
          <w:lang w:val="ru-RU" w:eastAsia="ru-RU" w:bidi="ru-RU"/>
          <w:w w:val="100"/>
          <w:spacing w:val="0"/>
          <w:color w:val="000000"/>
          <w:position w:val="0"/>
        </w:rPr>
        <w:t>Согласно извещению, документации об Аукционе объектом закупки является оказание услуг по санитарному содержанию комплекса детских лагерей.</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Комиссия, ознакомившись с документацией об Аукционе установила, что Заказчиком установлены ненадлежащие требования к товарам, применяемым при оказании услуг, а именно: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«Бумага туалетная Тип 1» в части показателя «В изделиях допускаются складки, дырчатость и пятна (кроме пятен от масла, подтеков грязной воды) размером от 3 до 7 мм включительно в наибольшем измерении при условии, что их количество не превышает четырех единиц на длину 30 м туалетной бумаги в рулонах»;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«Перчатки Тип 1», «Перчатки Тип 2» - «Относительное удлинение при разрыве должно быть не меньше 800%.».</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Кроме того, Заказчик при описании товаров, используемых в процесе оказания услуг, установил требование о предоставлении туалетной бумаги конкретного производителя без указания «или эквивалент» «Бумага предназначена для системы </w:t>
      </w:r>
      <w:r>
        <w:rPr>
          <w:lang w:val="en-US" w:eastAsia="en-US" w:bidi="en-US"/>
          <w:w w:val="100"/>
          <w:spacing w:val="0"/>
          <w:color w:val="000000"/>
          <w:position w:val="0"/>
        </w:rPr>
        <w:t xml:space="preserve">«TORK» </w:t>
      </w:r>
      <w:r>
        <w:rPr>
          <w:lang w:val="ru-RU" w:eastAsia="ru-RU" w:bidi="ru-RU"/>
          <w:w w:val="100"/>
          <w:spacing w:val="0"/>
          <w:color w:val="000000"/>
          <w:position w:val="0"/>
        </w:rPr>
        <w:t>система Т1».</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закупок химических и физических свойств товаров ограничивают возможность участников закупки предоставить надлежащее предложение в составе заявок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Указанные действия Заказчика нарушают пункт 1 части 1 статьи 33, пункты 1, 2 части 1 статьи 64, часть 6 статьи 66 Закона о контрактной системе и содержат признаки административного правонарушения, предусмотренного частью 4.2 статьи</w:t>
      </w:r>
    </w:p>
    <w:p>
      <w:pPr>
        <w:pStyle w:val="Style7"/>
        <w:numPr>
          <w:ilvl w:val="0"/>
          <w:numId w:val="15"/>
        </w:numPr>
        <w:tabs>
          <w:tab w:leader="none" w:pos="630"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Учитывая изложенное, доводы жалобы Заявителя нашли частичное свое подтверждение.</w:t>
      </w:r>
    </w:p>
    <w:p>
      <w:pPr>
        <w:pStyle w:val="Style7"/>
        <w:numPr>
          <w:ilvl w:val="0"/>
          <w:numId w:val="7"/>
        </w:numPr>
        <w:tabs>
          <w:tab w:leader="none" w:pos="1192"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доводов жалобы Заявитель указывает на то, что Заказчиком в проекте контракта документации об Аукционе не установлен штраф за неисполнение условия о привлечении к исполнению контракта субподрядчиков, соисполнителей из числа СМП, СОНО.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5 статьи 30 Закона о контрактной системе предусмотрено, что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6 статьи 30 Закона о контрактной системе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w:t>
      </w:r>
      <w:r>
        <w:fldChar w:fldCharType="begin"/>
      </w:r>
      <w:r>
        <w:rPr>
          <w:color w:val="000000"/>
        </w:rPr>
        <w:instrText> HYPERLINK "http://www.consultant.ru/document/cons_doc_LAW_144624/3cd4512b8c634f543d68d0da993c1bcb17a24bb8/%23dst101869" </w:instrText>
      </w:r>
      <w:r>
        <w:fldChar w:fldCharType="separate"/>
      </w:r>
      <w:r>
        <w:rPr>
          <w:rStyle w:val="Hyperlink"/>
          <w:lang w:val="ru-RU" w:eastAsia="ru-RU" w:bidi="ru-RU"/>
          <w:w w:val="100"/>
          <w:spacing w:val="0"/>
          <w:position w:val="0"/>
        </w:rPr>
        <w:t xml:space="preserve"> частью 5 </w:t>
      </w:r>
      <w:r>
        <w:fldChar w:fldCharType="end"/>
      </w:r>
      <w:r>
        <w:rPr>
          <w:lang w:val="ru-RU" w:eastAsia="ru-RU" w:bidi="ru-RU"/>
          <w:w w:val="100"/>
          <w:spacing w:val="0"/>
          <w:color w:val="000000"/>
          <w:position w:val="0"/>
        </w:rPr>
        <w:t>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w:t>
      </w:r>
      <w:r>
        <w:fldChar w:fldCharType="begin"/>
      </w:r>
      <w:r>
        <w:rPr>
          <w:color w:val="000000"/>
        </w:rPr>
        <w:instrText> HYPERLINK "http://www.consultant.ru/document/cons_doc_LAW_144624/3cd4512b8c634f543d68d0da993c1bcb17a24bb8/%23dst101857" </w:instrText>
      </w:r>
      <w:r>
        <w:fldChar w:fldCharType="separate"/>
      </w:r>
      <w:r>
        <w:rPr>
          <w:rStyle w:val="Hyperlink"/>
          <w:lang w:val="ru-RU" w:eastAsia="ru-RU" w:bidi="ru-RU"/>
          <w:w w:val="100"/>
          <w:spacing w:val="0"/>
          <w:position w:val="0"/>
        </w:rPr>
        <w:t xml:space="preserve"> частью 1 </w:t>
      </w:r>
      <w:r>
        <w:fldChar w:fldCharType="end"/>
      </w:r>
      <w:r>
        <w:rPr>
          <w:lang w:val="ru-RU" w:eastAsia="ru-RU" w:bidi="ru-RU"/>
          <w:w w:val="100"/>
          <w:spacing w:val="0"/>
          <w:color w:val="000000"/>
          <w:position w:val="0"/>
        </w:rPr>
        <w:t>настоящей статьи, и включается в отчет, указанный в</w:t>
      </w:r>
      <w:r>
        <w:fldChar w:fldCharType="begin"/>
      </w:r>
      <w:r>
        <w:rPr>
          <w:color w:val="000000"/>
        </w:rPr>
        <w:instrText> HYPERLINK "http://www.consultant.ru/document/cons_doc_LAW_144624/3cd4512b8c634f543d68d0da993c1bcb17a24bb8/%23dst101867" </w:instrText>
      </w:r>
      <w:r>
        <w:fldChar w:fldCharType="separate"/>
      </w:r>
      <w:r>
        <w:rPr>
          <w:rStyle w:val="Hyperlink"/>
          <w:lang w:val="ru-RU" w:eastAsia="ru-RU" w:bidi="ru-RU"/>
          <w:w w:val="100"/>
          <w:spacing w:val="0"/>
          <w:position w:val="0"/>
        </w:rPr>
        <w:t xml:space="preserve"> части</w:t>
      </w:r>
      <w:r>
        <w:fldChar w:fldCharType="end"/>
      </w:r>
      <w:r>
        <w:rPr>
          <w:lang w:val="ru-RU" w:eastAsia="ru-RU" w:bidi="ru-RU"/>
          <w:w w:val="100"/>
          <w:spacing w:val="0"/>
          <w:color w:val="000000"/>
          <w:position w:val="0"/>
        </w:rPr>
        <w:t xml:space="preserve"> </w:t>
      </w:r>
      <w:r>
        <w:fldChar w:fldCharType="begin"/>
      </w:r>
      <w:r>
        <w:rPr>
          <w:color w:val="000000"/>
        </w:rPr>
        <w:instrText> HYPERLINK "http://www.consultant.ru/document/cons_doc_LAW_144624/3cd4512b8c634f543d68d0da993c1bcb17a24bb8/%23dst101867" </w:instrText>
      </w:r>
      <w:r>
        <w:fldChar w:fldCharType="separate"/>
      </w:r>
      <w:r>
        <w:rPr>
          <w:rStyle w:val="Hyperlink"/>
          <w:lang w:val="ru-RU" w:eastAsia="ru-RU" w:bidi="ru-RU"/>
          <w:w w:val="100"/>
          <w:spacing w:val="0"/>
          <w:position w:val="0"/>
        </w:rPr>
        <w:t xml:space="preserve">4 </w:t>
      </w:r>
      <w:r>
        <w:fldChar w:fldCharType="end"/>
      </w:r>
      <w:r>
        <w:rPr>
          <w:lang w:val="ru-RU" w:eastAsia="ru-RU" w:bidi="ru-RU"/>
          <w:w w:val="100"/>
          <w:spacing w:val="0"/>
          <w:color w:val="000000"/>
          <w:position w:val="0"/>
        </w:rPr>
        <w:t>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w:t>
      </w:r>
    </w:p>
    <w:p>
      <w:pPr>
        <w:pStyle w:val="Style18"/>
        <w:framePr w:w="10253" w:wrap="notBeside" w:vAnchor="text" w:hAnchor="text" w:xAlign="center" w:y="1"/>
        <w:widowControl w:val="0"/>
        <w:keepNext w:val="0"/>
        <w:keepLines w:val="0"/>
        <w:shd w:val="clear" w:color="auto" w:fill="auto"/>
        <w:bidi w:val="0"/>
        <w:jc w:val="both"/>
        <w:spacing w:before="0" w:after="0" w:line="326" w:lineRule="exact"/>
        <w:ind w:left="0" w:right="0" w:firstLine="0"/>
      </w:pPr>
      <w:r>
        <w:rPr>
          <w:lang w:val="ru-RU" w:eastAsia="ru-RU" w:bidi="ru-RU"/>
          <w:w w:val="100"/>
          <w:spacing w:val="0"/>
          <w:color w:val="000000"/>
          <w:position w:val="0"/>
        </w:rPr>
        <w:t>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18"/>
        <w:framePr w:w="10253" w:wrap="notBeside" w:vAnchor="text" w:hAnchor="text" w:xAlign="center" w:y="1"/>
        <w:widowControl w:val="0"/>
        <w:keepNext w:val="0"/>
        <w:keepLines w:val="0"/>
        <w:shd w:val="clear" w:color="auto" w:fill="auto"/>
        <w:bidi w:val="0"/>
        <w:jc w:val="left"/>
        <w:spacing w:before="0" w:after="0" w:line="326" w:lineRule="exact"/>
        <w:ind w:left="0" w:right="0" w:firstLine="0"/>
      </w:pPr>
      <w:r>
        <w:rPr>
          <w:lang w:val="ru-RU" w:eastAsia="ru-RU" w:bidi="ru-RU"/>
          <w:w w:val="100"/>
          <w:spacing w:val="0"/>
          <w:color w:val="000000"/>
          <w:position w:val="0"/>
        </w:rPr>
        <w:t xml:space="preserve">Заказчик в документации об Аукционе установил: </w:t>
      </w:r>
      <w:r>
        <w:rPr>
          <w:rStyle w:val="CharStyle20"/>
        </w:rPr>
        <w:t>«...</w:t>
      </w:r>
    </w:p>
    <w:tbl>
      <w:tblPr>
        <w:tblOverlap w:val="never"/>
        <w:tblLayout w:type="fixed"/>
        <w:jc w:val="center"/>
      </w:tblPr>
      <w:tblGrid>
        <w:gridCol w:w="576"/>
        <w:gridCol w:w="6946"/>
        <w:gridCol w:w="2731"/>
      </w:tblGrid>
      <w:tr>
        <w:trPr>
          <w:trHeight w:val="845" w:hRule="exact"/>
        </w:trPr>
        <w:tc>
          <w:tcPr>
            <w:shd w:val="clear" w:color="auto" w:fill="FFFFFF"/>
            <w:tcBorders>
              <w:left w:val="single" w:sz="4"/>
              <w:top w:val="single" w:sz="4"/>
            </w:tcBorders>
            <w:vAlign w:val="center"/>
          </w:tcPr>
          <w:p>
            <w:pPr>
              <w:pStyle w:val="Style7"/>
              <w:framePr w:w="10253"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3"/>
              </w:rPr>
              <w:t>19</w:t>
            </w:r>
          </w:p>
        </w:tc>
        <w:tc>
          <w:tcPr>
            <w:shd w:val="clear" w:color="auto" w:fill="FFFFFF"/>
            <w:tcBorders>
              <w:left w:val="single" w:sz="4"/>
              <w:top w:val="single" w:sz="4"/>
            </w:tcBorders>
            <w:vAlign w:val="bottom"/>
          </w:tcPr>
          <w:p>
            <w:pPr>
              <w:pStyle w:val="Style7"/>
              <w:framePr w:w="10253"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4"/>
              </w:rPr>
              <w:t>Указание об осуществлении закупки у субъектов малого предпринимательства, социально ориентированных некоммерческих организаций</w:t>
            </w:r>
          </w:p>
        </w:tc>
        <w:tc>
          <w:tcPr>
            <w:shd w:val="clear" w:color="auto" w:fill="FFFFFF"/>
            <w:tcBorders>
              <w:left w:val="single" w:sz="4"/>
              <w:right w:val="single" w:sz="4"/>
              <w:top w:val="single" w:sz="4"/>
            </w:tcBorders>
            <w:vAlign w:val="center"/>
          </w:tcPr>
          <w:p>
            <w:pPr>
              <w:pStyle w:val="Style7"/>
              <w:framePr w:w="10253"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23"/>
              </w:rPr>
              <w:t>Не установлено.</w:t>
            </w:r>
          </w:p>
        </w:tc>
      </w:tr>
      <w:tr>
        <w:trPr>
          <w:trHeight w:val="283" w:hRule="exact"/>
        </w:trPr>
        <w:tc>
          <w:tcPr>
            <w:shd w:val="clear" w:color="auto" w:fill="FFFFFF"/>
            <w:tcBorders>
              <w:left w:val="single" w:sz="4"/>
              <w:top w:val="single" w:sz="4"/>
            </w:tcBorders>
            <w:vAlign w:val="bottom"/>
          </w:tcPr>
          <w:p>
            <w:pPr>
              <w:pStyle w:val="Style7"/>
              <w:framePr w:w="10253"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3"/>
              </w:rPr>
              <w:t>20</w:t>
            </w:r>
          </w:p>
        </w:tc>
        <w:tc>
          <w:tcPr>
            <w:shd w:val="clear" w:color="auto" w:fill="FFFFFF"/>
            <w:tcBorders>
              <w:left w:val="single" w:sz="4"/>
              <w:top w:val="single" w:sz="4"/>
            </w:tcBorders>
            <w:vAlign w:val="bottom"/>
          </w:tcPr>
          <w:p>
            <w:pPr>
              <w:pStyle w:val="Style7"/>
              <w:framePr w:w="10253"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4"/>
              </w:rPr>
              <w:t>Привлечение субподрядчиков, соисполнителей</w:t>
            </w:r>
          </w:p>
        </w:tc>
        <w:tc>
          <w:tcPr>
            <w:shd w:val="clear" w:color="auto" w:fill="FFFFFF"/>
            <w:tcBorders>
              <w:left w:val="single" w:sz="4"/>
              <w:right w:val="single" w:sz="4"/>
              <w:top w:val="single" w:sz="4"/>
            </w:tcBorders>
            <w:vAlign w:val="bottom"/>
          </w:tcPr>
          <w:p>
            <w:pPr>
              <w:pStyle w:val="Style7"/>
              <w:framePr w:w="10253"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23"/>
              </w:rPr>
              <w:t>Установлено.</w:t>
            </w:r>
          </w:p>
        </w:tc>
      </w:tr>
      <w:tr>
        <w:trPr>
          <w:trHeight w:val="1954" w:hRule="exact"/>
        </w:trPr>
        <w:tc>
          <w:tcPr>
            <w:shd w:val="clear" w:color="auto" w:fill="FFFFFF"/>
            <w:tcBorders>
              <w:left w:val="single" w:sz="4"/>
              <w:top w:val="single" w:sz="4"/>
              <w:bottom w:val="single" w:sz="4"/>
            </w:tcBorders>
            <w:vAlign w:val="center"/>
          </w:tcPr>
          <w:p>
            <w:pPr>
              <w:pStyle w:val="Style7"/>
              <w:framePr w:w="10253"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23"/>
              </w:rPr>
              <w:t>21</w:t>
            </w:r>
          </w:p>
        </w:tc>
        <w:tc>
          <w:tcPr>
            <w:shd w:val="clear" w:color="auto" w:fill="FFFFFF"/>
            <w:tcBorders>
              <w:left w:val="single" w:sz="4"/>
              <w:top w:val="single" w:sz="4"/>
              <w:bottom w:val="single" w:sz="4"/>
            </w:tcBorders>
            <w:vAlign w:val="bottom"/>
          </w:tcPr>
          <w:p>
            <w:pPr>
              <w:pStyle w:val="Style7"/>
              <w:framePr w:w="10253"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24"/>
              </w:rPr>
              <w:t>Требование к участнику аукциона,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shd w:val="clear" w:color="auto" w:fill="FFFFFF"/>
            <w:tcBorders>
              <w:left w:val="single" w:sz="4"/>
              <w:right w:val="single" w:sz="4"/>
              <w:top w:val="single" w:sz="4"/>
              <w:bottom w:val="single" w:sz="4"/>
            </w:tcBorders>
            <w:vAlign w:val="center"/>
          </w:tcPr>
          <w:p>
            <w:pPr>
              <w:pStyle w:val="Style7"/>
              <w:framePr w:w="10253"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3"/>
              </w:rPr>
              <w:t>Установлено.</w:t>
            </w:r>
          </w:p>
          <w:p>
            <w:pPr>
              <w:pStyle w:val="Style7"/>
              <w:framePr w:w="10253"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23"/>
              </w:rPr>
              <w:t>Объем привлечения такого соисполнителя составляет 15% (пятнадцать) процентов от цены контракта.</w:t>
            </w:r>
          </w:p>
        </w:tc>
      </w:tr>
    </w:tbl>
    <w:p>
      <w:pPr>
        <w:pStyle w:val="Style18"/>
        <w:framePr w:w="10253"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0"/>
        </w:rPr>
        <w:t>...»</w:t>
      </w:r>
      <w:r>
        <w:rPr>
          <w:lang w:val="ru-RU" w:eastAsia="ru-RU" w:bidi="ru-RU"/>
          <w:w w:val="100"/>
          <w:spacing w:val="0"/>
          <w:color w:val="000000"/>
          <w:position w:val="0"/>
        </w:rPr>
        <w:t xml:space="preserve"> (цитата).</w:t>
      </w:r>
    </w:p>
    <w:p>
      <w:pPr>
        <w:widowControl w:val="0"/>
        <w:rPr>
          <w:sz w:val="2"/>
          <w:szCs w:val="2"/>
        </w:rPr>
      </w:pPr>
    </w:p>
    <w:p>
      <w:pPr>
        <w:pStyle w:val="Style7"/>
        <w:widowControl w:val="0"/>
        <w:keepNext w:val="0"/>
        <w:keepLines w:val="0"/>
        <w:shd w:val="clear" w:color="auto" w:fill="auto"/>
        <w:bidi w:val="0"/>
        <w:jc w:val="both"/>
        <w:spacing w:before="0" w:after="0"/>
        <w:ind w:left="20" w:right="6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20" w:right="6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20" w:right="6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20" w:right="60" w:firstLine="860"/>
      </w:pPr>
      <w:r>
        <w:rPr>
          <w:lang w:val="ru-RU" w:eastAsia="ru-RU" w:bidi="ru-RU"/>
          <w:w w:val="100"/>
          <w:spacing w:val="0"/>
          <w:color w:val="000000"/>
          <w:position w:val="0"/>
        </w:rPr>
        <w:t>При этом частями 5-8 статьи 34 Закона о контрактной системе установлено, что заказчик обязан установить в контракте размер неустоек (штрафов, пеней), уплачиваемых заказчиком, поставщиком (подрядчиком, исполнителем) за неисполнение или ненадлежащее исполнение обязательств, предусмотренных контрактом, определенных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№1042 (далее - Правила от 30.08.2017 №1042). Нормы положений пунктов Правил от 30.08.2017 №1042 являются обязательными к применению с 09.09.2017.</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(штрафы, пени) является включение в проект контракта штрафа, пени, предусмотренных Правилами от 30.08.2017 №1042:</w:t>
      </w:r>
    </w:p>
    <w:p>
      <w:pPr>
        <w:pStyle w:val="Style7"/>
        <w:numPr>
          <w:ilvl w:val="0"/>
          <w:numId w:val="17"/>
        </w:numPr>
        <w:tabs>
          <w:tab w:leader="none" w:pos="1369"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w:t>
      </w:r>
      <w:r>
        <w:fldChar w:fldCharType="begin"/>
      </w:r>
      <w:r>
        <w:rPr>
          <w:color w:val="000000"/>
        </w:rPr>
        <w:instrText> HYPERLINK "http://www.consultant.ru/document/cons_doc_LAW_227100/20c630df7c4997e52b3728324b0bf9a46a6da2c6/%23dst100029" </w:instrText>
      </w:r>
      <w:r>
        <w:fldChar w:fldCharType="separate"/>
      </w:r>
      <w:r>
        <w:rPr>
          <w:rStyle w:val="Hyperlink"/>
          <w:lang w:val="ru-RU" w:eastAsia="ru-RU" w:bidi="ru-RU"/>
          <w:w w:val="100"/>
          <w:spacing w:val="0"/>
          <w:position w:val="0"/>
        </w:rPr>
        <w:t xml:space="preserve"> </w:t>
      </w:r>
      <w:r>
        <w:rPr>
          <w:rStyle w:val="Hyperlink"/>
        </w:rPr>
        <w:t>пунктами 4</w:t>
      </w:r>
      <w:r>
        <w:rPr>
          <w:rStyle w:val="Hyperlink"/>
        </w:rPr>
        <w:t xml:space="preserve"> </w:t>
      </w:r>
      <w:r>
        <w:fldChar w:fldCharType="end"/>
      </w:r>
      <w:r>
        <w:rPr>
          <w:lang w:val="ru-RU" w:eastAsia="ru-RU" w:bidi="ru-RU"/>
          <w:w w:val="100"/>
          <w:spacing w:val="0"/>
          <w:color w:val="000000"/>
          <w:position w:val="0"/>
        </w:rPr>
        <w:t>-</w:t>
      </w:r>
      <w:r>
        <w:fldChar w:fldCharType="begin"/>
      </w:r>
      <w:r>
        <w:rPr>
          <w:color w:val="000000"/>
        </w:rPr>
        <w:instrText> HYPERLINK "http://www.consultant.ru/document/cons_doc_LAW_227100/20c630df7c4997e52b3728324b0bf9a46a6da2c6/%23dst100043" </w:instrText>
      </w:r>
      <w:r>
        <w:fldChar w:fldCharType="separate"/>
      </w:r>
      <w:r>
        <w:rPr>
          <w:rStyle w:val="Hyperlink"/>
          <w:lang w:val="ru-RU" w:eastAsia="ru-RU" w:bidi="ru-RU"/>
          <w:w w:val="100"/>
          <w:spacing w:val="0"/>
          <w:position w:val="0"/>
        </w:rPr>
        <w:t xml:space="preserve"> </w:t>
      </w:r>
      <w:r>
        <w:rPr>
          <w:rStyle w:val="Hyperlink"/>
        </w:rPr>
        <w:t xml:space="preserve">8 </w:t>
      </w:r>
      <w:r>
        <w:fldChar w:fldCharType="end"/>
      </w:r>
      <w:r>
        <w:rPr>
          <w:lang w:val="ru-RU" w:eastAsia="ru-RU" w:bidi="ru-RU"/>
          <w:w w:val="100"/>
          <w:spacing w:val="0"/>
          <w:color w:val="000000"/>
          <w:position w:val="0"/>
        </w:rPr>
        <w:t>Правил от 30.08.2017 №1042):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7"/>
        </w:numPr>
        <w:tabs>
          <w:tab w:leader="none" w:pos="1884" w:val="left"/>
          <w:tab w:leader="none" w:pos="3885" w:val="left"/>
          <w:tab w:leader="none" w:pos="10214"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84" w:val="left"/>
          <w:tab w:leader="none" w:pos="3885" w:val="left"/>
          <w:tab w:leader="none" w:pos="10214"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w:t>
        <w:tab/>
        <w:t>обязательств, предусмотренных</w:t>
      </w:r>
    </w:p>
    <w:p>
      <w:pPr>
        <w:pStyle w:val="Style7"/>
        <w:tabs>
          <w:tab w:leader="none" w:pos="1884" w:val="left"/>
          <w:tab w:leader="none" w:pos="3911"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заключенным по результатам определения поставщика (подрядчика, исполнителя) в соответствии с</w:t>
      </w:r>
      <w:r>
        <w:fldChar w:fldCharType="begin"/>
      </w:r>
      <w:r>
        <w:rPr>
          <w:color w:val="000000"/>
        </w:rPr>
        <w:instrText> HYPERLINK "http://www.consultant.ru/document/cons_doc_LAW_144624/3cd4512b8c634f543d68d0da993c1bcb17a24bb8/%23dst101858" </w:instrText>
      </w:r>
      <w:r>
        <w:fldChar w:fldCharType="separate"/>
      </w:r>
      <w:r>
        <w:rPr>
          <w:rStyle w:val="Hyperlink"/>
          <w:lang w:val="ru-RU" w:eastAsia="ru-RU" w:bidi="ru-RU"/>
          <w:w w:val="100"/>
          <w:spacing w:val="0"/>
          <w:position w:val="0"/>
        </w:rPr>
        <w:t xml:space="preserve"> </w:t>
      </w:r>
      <w:r>
        <w:rPr>
          <w:rStyle w:val="Hyperlink"/>
        </w:rPr>
        <w:t>пунктом 1 части 1 статьи 30</w:t>
      </w:r>
      <w:r>
        <w:rPr>
          <w:rStyle w:val="Hyperlink"/>
        </w:rPr>
        <w:t xml:space="preserve"> </w:t>
      </w:r>
      <w:r>
        <w:fldChar w:fldCharType="end"/>
      </w:r>
      <w:r>
        <w:rPr>
          <w:lang w:val="ru-RU" w:eastAsia="ru-RU" w:bidi="ru-RU"/>
          <w:w w:val="100"/>
          <w:spacing w:val="0"/>
          <w:color w:val="000000"/>
          <w:position w:val="0"/>
        </w:rPr>
        <w:t>Закона о контрактной системе,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7"/>
        </w:numPr>
        <w:tabs>
          <w:tab w:leader="none" w:pos="1884" w:val="left"/>
          <w:tab w:leader="none" w:pos="3885" w:val="left"/>
          <w:tab w:leader="none" w:pos="10214"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84" w:val="left"/>
          <w:tab w:leader="none" w:pos="3885" w:val="left"/>
          <w:tab w:leader="none" w:pos="10214"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w:t>
        <w:tab/>
        <w:t>обязательств, предусмотренных</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от 30.08.2017 №1042,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w:t>
      </w:r>
      <w:r>
        <w:fldChar w:fldCharType="begin"/>
      </w:r>
      <w:r>
        <w:rPr>
          <w:color w:val="000000"/>
        </w:rPr>
        <w:instrText> HYPERLINK "http://www.consultant.ru/document/cons_doc_LAW_144624/3cd4512b8c634f543d68d0da993c1bcb17a24bb8/%23dst101870" </w:instrText>
      </w:r>
      <w:r>
        <w:fldChar w:fldCharType="separate"/>
      </w:r>
      <w:r>
        <w:rPr>
          <w:rStyle w:val="Hyperlink"/>
          <w:lang w:val="ru-RU" w:eastAsia="ru-RU" w:bidi="ru-RU"/>
          <w:w w:val="100"/>
          <w:spacing w:val="0"/>
          <w:position w:val="0"/>
        </w:rPr>
        <w:t xml:space="preserve"> </w:t>
      </w:r>
      <w:r>
        <w:rPr>
          <w:rStyle w:val="Hyperlink"/>
        </w:rPr>
        <w:t>частью 6 статьи 30</w:t>
      </w:r>
      <w:r>
        <w:rPr>
          <w:rStyle w:val="Hyperlink"/>
        </w:rPr>
        <w:t xml:space="preserve"> </w:t>
      </w:r>
      <w:r>
        <w:fldChar w:fldCharType="end"/>
      </w:r>
      <w:r>
        <w:rPr>
          <w:lang w:val="ru-RU" w:eastAsia="ru-RU" w:bidi="ru-RU"/>
          <w:w w:val="100"/>
          <w:spacing w:val="0"/>
          <w:color w:val="000000"/>
          <w:position w:val="0"/>
        </w:rPr>
        <w:t>Закона о контрактной системе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от 30.08.2017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Заказчик в проекте контракта документации об Аукционе установил: «.</w:t>
      </w:r>
    </w:p>
    <w:p>
      <w:pPr>
        <w:pStyle w:val="Style3"/>
        <w:tabs>
          <w:tab w:leader="underscore" w:pos="7638" w:val="left"/>
        </w:tabs>
        <w:widowControl w:val="0"/>
        <w:keepNext w:val="0"/>
        <w:keepLines w:val="0"/>
        <w:shd w:val="clear" w:color="auto" w:fill="auto"/>
        <w:bidi w:val="0"/>
        <w:jc w:val="both"/>
        <w:spacing w:before="0" w:after="0" w:line="220" w:lineRule="exact"/>
        <w:ind w:left="3280" w:right="0" w:firstLine="0"/>
      </w:pPr>
      <w:r>
        <w:rPr>
          <w:lang w:val="ru-RU" w:eastAsia="ru-RU" w:bidi="ru-RU"/>
          <w:w w:val="100"/>
          <w:spacing w:val="0"/>
          <w:color w:val="000000"/>
          <w:position w:val="0"/>
        </w:rPr>
        <w:t>КОНТРАКТ №</w:t>
        <w:tab/>
      </w:r>
    </w:p>
    <w:p>
      <w:pPr>
        <w:pStyle w:val="Style3"/>
        <w:widowControl w:val="0"/>
        <w:keepNext w:val="0"/>
        <w:keepLines w:val="0"/>
        <w:shd w:val="clear" w:color="auto" w:fill="auto"/>
        <w:bidi w:val="0"/>
        <w:jc w:val="left"/>
        <w:spacing w:before="0" w:after="240"/>
        <w:ind w:left="1440" w:right="600" w:firstLine="1440"/>
      </w:pPr>
      <w:r>
        <w:rPr>
          <w:lang w:val="ru-RU" w:eastAsia="ru-RU" w:bidi="ru-RU"/>
          <w:w w:val="100"/>
          <w:spacing w:val="0"/>
          <w:color w:val="000000"/>
          <w:position w:val="0"/>
        </w:rPr>
        <w:t>ИКЗ № 171910300307091030100104283578121244 «Оказание услуги по санитарному содержанию комплекса детских лагерей «Прибрежный «ФГБОУ «МДЦ «Артек» в 2018 г.»</w:t>
      </w:r>
    </w:p>
    <w:p>
      <w:pPr>
        <w:pStyle w:val="Style25"/>
        <w:numPr>
          <w:ilvl w:val="0"/>
          <w:numId w:val="19"/>
        </w:numPr>
        <w:tabs>
          <w:tab w:leader="none" w:pos="1523" w:val="left"/>
        </w:tabs>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Привлекать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объёме 15% от цены Контракта.</w:t>
      </w:r>
    </w:p>
    <w:p>
      <w:pPr>
        <w:pStyle w:val="Style3"/>
        <w:widowControl w:val="0"/>
        <w:keepNext w:val="0"/>
        <w:keepLines w:val="0"/>
        <w:shd w:val="clear" w:color="auto" w:fill="auto"/>
        <w:bidi w:val="0"/>
        <w:jc w:val="left"/>
        <w:spacing w:before="0" w:after="0"/>
        <w:ind w:left="3580" w:right="0" w:firstLine="0"/>
      </w:pPr>
      <w:r>
        <w:rPr>
          <w:lang w:val="ru-RU" w:eastAsia="ru-RU" w:bidi="ru-RU"/>
          <w:w w:val="100"/>
          <w:spacing w:val="0"/>
          <w:color w:val="000000"/>
          <w:position w:val="0"/>
        </w:rPr>
        <w:t>6. ОТВЕТСТВЕННОСТЬ СТОРОН.</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Стороны несут ответственность за неисполнение и ненадлежащее исполнение условий настоящего контракта на основании статьи 34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раздела - Федеральный закон) 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Исполнителем обязательств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(за исключением случаев, когда настоящим разделом предусмотрен иной размер ответственности):</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при взыскании штрафа исходя из размера цены контракта в виде фиксированной суммы в размере:</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а) 10 процентов цены контракта, в случае, если цена контракта не превышает 3 млн. рублей;</w:t>
      </w:r>
    </w:p>
    <w:p>
      <w:pPr>
        <w:pStyle w:val="Style25"/>
        <w:tabs>
          <w:tab w:leader="underscore" w:pos="8593"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б) 5 процентов цены контракта, в случае, если цена контракта составляет от 3 млн. рублей до 50 млн. рублей (включительно), что для данного Контракта составляет</w:t>
        <w:tab/>
        <w:t>;</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в) 1 процент цены контракта, в случае, если цена контракта составляет от 50 млн. рублей до 100 млн. рублей (включительно);</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г) 0,5 процента цены контракта, в случае, если цена контракта составляет от 100 млн. рублей до 500 млн. рублей (включительно);</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д) 0,4 процента цены контракта, в случае, если цена контракта составляет от 500 млн. рублей до 1 млрд. рублей (включительно);</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е) 0,3 процента цены контракта, в случае, если цена контракта составляет от 1 млрд. рублей до 2 млрд. рублей (включительно);</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ж) 0,25 процента цены контракта, в случае, если контракта этапа составляет от 2 млрд. рублей до 5 млрд. рублей (включительно);</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з) 0,2 процента цены контракта, в случае, если цена контракта составляет от 5 млрд. рублей до 10 млрд. рублей (включительно);</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и) 0,1 процента цены контракта, в случае, если цена контракта превышает 10 млрд. рублей.</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w:t>
      </w:r>
    </w:p>
    <w:p>
      <w:pPr>
        <w:pStyle w:val="Style25"/>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Размер штрафа определяется в следующем порядке:</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а) 1000 рублей, если цена контракта не превышает 3 млн. рублей.</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 100000 рублей, если цена контракта превышает 100 млн. рублей.</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случае, если по итогам электронного аукциона цена контракта снижена до половины процента начальной (максимальной) цены контракта или ниже, и такой аукцион проводился на право заключить контракт,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25"/>
        <w:tabs>
          <w:tab w:leader="none" w:pos="486" w:val="left"/>
          <w:tab w:leader="none" w:pos="3193" w:val="right"/>
          <w:tab w:leader="none" w:pos="3358" w:val="left"/>
          <w:tab w:leader="none" w:pos="8324" w:val="right"/>
          <w:tab w:leader="none" w:pos="8489"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а)</w:t>
        <w:tab/>
        <w:t>10 процентов</w:t>
        <w:tab/>
        <w:t>начальной</w:t>
        <w:tab/>
        <w:t>(максимальной) цены контракта</w:t>
        <w:tab/>
        <w:t>в случае,</w:t>
        <w:tab/>
        <w:t>если начальная</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(максимальная) цена контракта не превышает 3 млн. рублей;</w:t>
      </w:r>
    </w:p>
    <w:p>
      <w:pPr>
        <w:pStyle w:val="Style25"/>
        <w:tabs>
          <w:tab w:leader="none" w:pos="486" w:val="left"/>
          <w:tab w:leader="none" w:pos="3193" w:val="right"/>
          <w:tab w:leader="none" w:pos="3358" w:val="left"/>
          <w:tab w:leader="none" w:pos="8324" w:val="right"/>
          <w:tab w:leader="none" w:pos="8489"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б)</w:t>
        <w:tab/>
        <w:t>5 процентов</w:t>
        <w:tab/>
        <w:t>начальной</w:t>
        <w:tab/>
        <w:t>(максимальной) цены контракта</w:t>
        <w:tab/>
        <w:t>в случае,</w:t>
        <w:tab/>
        <w:t>если начальная</w:t>
      </w:r>
    </w:p>
    <w:p>
      <w:pPr>
        <w:pStyle w:val="Style25"/>
        <w:tabs>
          <w:tab w:leader="underscore" w:pos="4887" w:val="center"/>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(максимальная) цена контракта составляет от 3 млн. рублей до 50 млн. рублей (включительно), что для данного Контракта составляет</w:t>
        <w:tab/>
        <w:t>;</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p>
    <w:p>
      <w:pPr>
        <w:pStyle w:val="Style25"/>
        <w:widowControl w:val="0"/>
        <w:keepNext w:val="0"/>
        <w:keepLines w:val="0"/>
        <w:shd w:val="clear" w:color="auto" w:fill="auto"/>
        <w:bidi w:val="0"/>
        <w:jc w:val="left"/>
        <w:spacing w:before="0" w:after="0"/>
        <w:ind w:left="720" w:right="0" w:firstLine="0"/>
      </w:pPr>
      <w:r>
        <w:rPr>
          <w:lang w:val="ru-RU" w:eastAsia="ru-RU" w:bidi="ru-RU"/>
          <w:w w:val="100"/>
          <w:spacing w:val="0"/>
          <w:color w:val="000000"/>
          <w:position w:val="0"/>
        </w:rPr>
        <w:t>Размер штрафа определяется в следующем порядке:</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25"/>
        <w:tabs>
          <w:tab w:leader="none" w:pos="486" w:val="left"/>
          <w:tab w:leader="none" w:pos="3193" w:val="right"/>
          <w:tab w:leader="none" w:pos="3358" w:val="left"/>
          <w:tab w:leader="none" w:pos="8324" w:val="right"/>
          <w:tab w:leader="none" w:pos="8489"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б)</w:t>
        <w:tab/>
        <w:t>5000 рублей,</w:t>
        <w:tab/>
        <w:t>если цена</w:t>
        <w:tab/>
        <w:t>контракта составляет от 3 млн.</w:t>
        <w:tab/>
        <w:t>рублей до</w:t>
        <w:tab/>
        <w:t>50 млн. рублей</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(включительно), что соответствует условиям данного Контракта.</w:t>
      </w:r>
    </w:p>
    <w:p>
      <w:pPr>
        <w:pStyle w:val="Style25"/>
        <w:tabs>
          <w:tab w:leader="none" w:pos="486" w:val="left"/>
          <w:tab w:leader="none" w:pos="3193" w:val="right"/>
          <w:tab w:leader="none" w:pos="3358" w:val="left"/>
          <w:tab w:leader="none" w:pos="8324" w:val="right"/>
          <w:tab w:leader="none" w:pos="8489" w:val="lef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в)</w:t>
        <w:tab/>
        <w:t>10000 рублей,</w:t>
        <w:tab/>
        <w:t>если цена</w:t>
        <w:tab/>
        <w:t>контракта составляет от 50 млн.</w:t>
        <w:tab/>
        <w:t>рублей до</w:t>
        <w:tab/>
        <w:t>100 млн. рублей</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(включительно).</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г) 100000 рублей, если цена контракта превышает 100 млн. рублей.</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pPr>
        <w:pStyle w:val="Style25"/>
        <w:numPr>
          <w:ilvl w:val="0"/>
          <w:numId w:val="21"/>
        </w:numPr>
        <w:tabs>
          <w:tab w:leader="none" w:pos="1493" w:val="left"/>
          <w:tab w:leader="none" w:pos="5261" w:val="right"/>
          <w:tab w:leader="none" w:pos="10207" w:val="right"/>
        </w:tabs>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случае просрочки</w:t>
        <w:tab/>
        <w:t>исполнения</w:t>
        <w:tab/>
        <w:t>Заказчиком обязательств, предусмотренных</w:t>
      </w:r>
    </w:p>
    <w:p>
      <w:pPr>
        <w:pStyle w:val="Style25"/>
        <w:tabs>
          <w:tab w:leader="none" w:pos="1493" w:val="left"/>
          <w:tab w:leader="none" w:pos="5261" w:val="right"/>
          <w:tab w:leader="none" w:pos="10207"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контрактом,</w:t>
        <w:tab/>
        <w:t>Исполнитель вправе</w:t>
        <w:tab/>
        <w:t>потребовать</w:t>
        <w:tab/>
        <w:t>уплаты неустойки (штрафов, пеней). Пеня</w:t>
      </w:r>
    </w:p>
    <w:p>
      <w:pPr>
        <w:pStyle w:val="Style2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Заказчиком, Исполнителем обязательств, предусмотренных контрактом, не может превышать цену контракта.</w:t>
      </w:r>
    </w:p>
    <w:p>
      <w:pPr>
        <w:pStyle w:val="Style25"/>
        <w:numPr>
          <w:ilvl w:val="0"/>
          <w:numId w:val="21"/>
        </w:numPr>
        <w:tabs>
          <w:tab w:leader="none" w:pos="1493" w:val="left"/>
          <w:tab w:leader="none" w:pos="5261" w:val="right"/>
          <w:tab w:leader="none" w:pos="10207" w:val="right"/>
        </w:tabs>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случае просрочки</w:t>
        <w:tab/>
        <w:t>исполнения</w:t>
        <w:tab/>
        <w:t>Исполнителем обязательств (в том числе</w:t>
      </w:r>
    </w:p>
    <w:p>
      <w:pPr>
        <w:pStyle w:val="Style25"/>
        <w:tabs>
          <w:tab w:leader="none" w:pos="1426" w:val="right"/>
          <w:tab w:leader="none" w:pos="10207"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гарантийного обязательства), предусмотренных контрактом, а также в иных случаях неисполнения или</w:t>
        <w:tab/>
        <w:t>ненадлежащего исполнения Исполнителем</w:t>
        <w:tab/>
        <w:t>обязательств, предусмотренных контрактом,</w:t>
      </w:r>
    </w:p>
    <w:p>
      <w:pPr>
        <w:pStyle w:val="Style2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Заказчик направляет Исполнителю требование об уплате неустоек (штрафов, пеней).</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Пеня и штрафы оплачиваются Исполнителем в течение 5 (пяти) рабочих дней с даты направления ему Заказчиком соответствующего требования. Исполнитель обязан подтвердить факт оплаты пени и штрафы по настоящему Контракту путем направления Заказчику соответствующего платежного поручения посредством факсимильной связи с последующей досылкой по почте. В случае просрочки направления Заказчику подтверждающего оплату платежного поручения более чем на 10 (десять) рабочих дней, Заказчик вправе взыскать с Исполнителя дополнительный штраф в размере подлежащих оплате пени и штрафа.</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Исполнитель возмещает Заказчику убытки, причиненные вследствие ненадлежащего исполнения обязательств по Контракту в течении двухнедельного срока с момента получения письменного требования Заказчика.</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Оплата штрафных санкций не освобождает Исполнителя от выполнения своих обязательств по настоящему Контракту.</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части, непредусмотренной настоящим разделом контракта, Стороны руководствуются действующим законодательством РФ.</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Исполнитель несет ответственность за убытки, связанные с повреждением используемых при оказании услуг товаров и (или) отправлением его не по адресу вследствие неполноценной или неправильной маркировки и упаковки товаров или несоблюдения инструкции по его перевозке.</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В случае расторжения Контракта в связи с ненадлежащим исполнением Исполнителем своих обязательств (в том числе по соглашению Сторон) последний в течение 5 (пяти) рабочих дней с даты расторжения Контракта или подписания соглашения о расторжении Контракта уплачивает Заказчику неустойку, определенную в соответствии с (п. 6.2, п. 6.3, п.6.4, п. 6.5) настоящего Контракта.</w:t>
      </w:r>
    </w:p>
    <w:p>
      <w:pPr>
        <w:pStyle w:val="Style25"/>
        <w:numPr>
          <w:ilvl w:val="0"/>
          <w:numId w:val="21"/>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Если в качестве обеспечения исполнения обязательств по настоящему Контракту Заказчику были переданы денежные средства, внесенные в качестве обеспечения исполнения Контракта, удовлетворение требований Заказчика как залогодержателя за счет заложенного имущества осуществляется без обращения в суд, в соответствии со ст. 337 ГК РФ.</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положения документации об Аукционе, установила, что в проекте контракта документации об Аукционе отсутствует размер штрафа, определенный Правилами от 30.08.2017 №1042, за неисполнение поставщиком (подрядчиком, исполнителем)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частью 6 статьи 30 Закона о контрактной системе.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Учитывая изложенное выше, данные действия Заказчика нарушают требования части 8 статьи 34 Закона о контрактной системе, Правил от 30.08.2017 №1042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0"/>
          <w:numId w:val="7"/>
        </w:numPr>
        <w:tabs>
          <w:tab w:leader="none" w:pos="125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доводам жалобы Заявителя о том, что Заказчик в проекте контракта документации об Аукционе неправильно установлен срок оплаты оказанных услуг, а именно «в срок не более 30 (тридцать) календарных дней» вместо «не более чем в течение пятнадцати рабочих дней».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8 статьи 30 Закона о контрактной системе в случае, если в извещении об осуществлении закупки установлены ограничения в соответствии с</w:t>
      </w:r>
      <w:r>
        <w:fldChar w:fldCharType="begin"/>
      </w:r>
      <w:r>
        <w:rPr>
          <w:color w:val="000000"/>
        </w:rPr>
        <w:instrText> HYPERLINK "http://www.consultant.ru/document/cons_doc_LAW_144624/3cd4512b8c634f543d68d0da993c1bcb17a24bb8/%23dst100329" </w:instrText>
      </w:r>
      <w:r>
        <w:fldChar w:fldCharType="separate"/>
      </w:r>
      <w:r>
        <w:rPr>
          <w:rStyle w:val="Hyperlink"/>
          <w:lang w:val="ru-RU" w:eastAsia="ru-RU" w:bidi="ru-RU"/>
          <w:w w:val="100"/>
          <w:spacing w:val="0"/>
          <w:position w:val="0"/>
        </w:rPr>
        <w:t xml:space="preserve"> частью 3 </w:t>
      </w:r>
      <w:r>
        <w:fldChar w:fldCharType="end"/>
      </w:r>
      <w:r>
        <w:rPr>
          <w:lang w:val="ru-RU" w:eastAsia="ru-RU" w:bidi="ru-RU"/>
          <w:w w:val="100"/>
          <w:spacing w:val="0"/>
          <w:color w:val="000000"/>
          <w:position w:val="0"/>
        </w:rPr>
        <w:t>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w:t>
      </w:r>
      <w:r>
        <w:br w:type="page"/>
      </w:r>
    </w:p>
    <w:p>
      <w:pPr>
        <w:pStyle w:val="Style7"/>
        <w:numPr>
          <w:ilvl w:val="0"/>
          <w:numId w:val="23"/>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статьи 94 Закона о контрактной системе.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заседании Комиссии представитель Заказчика пояснил, что согласно извещению, документации об Аукционе Заказчик не осуществляет закупку у субъектов малого предпринимательства, социально ориентированных некоммерческих организаций, в связи с чем, положения частей 7, 8 статьи 30 Закона о контрактной системе при проведении Аукциона не применимы.</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Заказчик в проекте контракта документации об Аукционе установил: </w:t>
      </w:r>
      <w:r>
        <w:rPr>
          <w:rStyle w:val="CharStyle17"/>
        </w:rPr>
        <w:t>«...</w:t>
      </w:r>
    </w:p>
    <w:p>
      <w:pPr>
        <w:pStyle w:val="Style25"/>
        <w:numPr>
          <w:ilvl w:val="0"/>
          <w:numId w:val="25"/>
        </w:numPr>
        <w:tabs>
          <w:tab w:leader="none" w:pos="1573" w:val="left"/>
        </w:tabs>
        <w:widowControl w:val="0"/>
        <w:keepNext w:val="0"/>
        <w:keepLines w:val="0"/>
        <w:shd w:val="clear" w:color="auto" w:fill="auto"/>
        <w:bidi w:val="0"/>
        <w:spacing w:before="0" w:after="22"/>
        <w:ind w:left="0" w:right="20" w:firstLine="860"/>
      </w:pPr>
      <w:r>
        <w:rPr>
          <w:lang w:val="ru-RU" w:eastAsia="ru-RU" w:bidi="ru-RU"/>
          <w:w w:val="100"/>
          <w:spacing w:val="0"/>
          <w:color w:val="000000"/>
          <w:position w:val="0"/>
        </w:rPr>
        <w:t>Оплата оказанных за расчетный период (месяц) и принятых услуг производится Заказчиком путем перечисления денежных средств на счет Исполнителя на основании счета, счета - фактуры, акта оказанных услуг в пределах, установленных сметной документацией, в срок не более 30 (тридцать) календарных дней со дня подписания Заказчиком акта о приемке оказанных услуг.</w:t>
      </w:r>
    </w:p>
    <w:p>
      <w:pPr>
        <w:pStyle w:val="Style7"/>
        <w:widowControl w:val="0"/>
        <w:keepNext w:val="0"/>
        <w:keepLines w:val="0"/>
        <w:shd w:val="clear" w:color="auto" w:fill="auto"/>
        <w:bidi w:val="0"/>
        <w:jc w:val="both"/>
        <w:spacing w:before="0" w:after="0"/>
        <w:ind w:left="0" w:right="0" w:firstLine="860"/>
      </w:pPr>
      <w:r>
        <w:rPr>
          <w:rStyle w:val="CharStyle17"/>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Учитывая изложенное, Комиссия, изучив документацию об Аукционе, приходит к выводу, что действия Заказчика по установлению срока оплаты оказанных услуг не противоречат требованиям Закона о контрактной системе.</w:t>
      </w:r>
    </w:p>
    <w:p>
      <w:pPr>
        <w:pStyle w:val="Style7"/>
        <w:widowControl w:val="0"/>
        <w:keepNext w:val="0"/>
        <w:keepLines w:val="0"/>
        <w:shd w:val="clear" w:color="auto" w:fill="auto"/>
        <w:bidi w:val="0"/>
        <w:jc w:val="both"/>
        <w:spacing w:before="0" w:after="60"/>
        <w:ind w:left="0" w:right="0" w:firstLine="860"/>
      </w:pPr>
      <w:r>
        <w:rPr>
          <w:lang w:val="ru-RU" w:eastAsia="ru-RU" w:bidi="ru-RU"/>
          <w:w w:val="100"/>
          <w:spacing w:val="0"/>
          <w:color w:val="000000"/>
          <w:position w:val="0"/>
        </w:rPr>
        <w:t>Таким образом, довод жалобы Заявителя не нашел своего подтверждения.</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На основании изложенного, руководствуясь частями 15, 22 статьи 99, частью</w:t>
      </w:r>
    </w:p>
    <w:p>
      <w:pPr>
        <w:pStyle w:val="Style7"/>
        <w:numPr>
          <w:ilvl w:val="0"/>
          <w:numId w:val="23"/>
        </w:numPr>
        <w:widowControl w:val="0"/>
        <w:keepNext w:val="0"/>
        <w:keepLines w:val="0"/>
        <w:shd w:val="clear" w:color="auto" w:fill="auto"/>
        <w:bidi w:val="0"/>
        <w:jc w:val="both"/>
        <w:spacing w:before="0" w:after="109"/>
        <w:ind w:left="0" w:right="20" w:firstLine="0"/>
      </w:pPr>
      <w:r>
        <w:rPr>
          <w:lang w:val="ru-RU" w:eastAsia="ru-RU" w:bidi="ru-RU"/>
          <w:w w:val="100"/>
          <w:spacing w:val="0"/>
          <w:color w:val="000000"/>
          <w:position w:val="0"/>
        </w:rPr>
        <w:t xml:space="preserve"> статьи 106 Закона о контрактной системе, пунктами 3.30, 3.34, 3.35 Административного регламента от 19.11.2014 №727/14, Комиссия</w:t>
      </w:r>
    </w:p>
    <w:p>
      <w:pPr>
        <w:pStyle w:val="Style7"/>
        <w:widowControl w:val="0"/>
        <w:keepNext w:val="0"/>
        <w:keepLines w:val="0"/>
        <w:shd w:val="clear" w:color="auto" w:fill="auto"/>
        <w:bidi w:val="0"/>
        <w:jc w:val="left"/>
        <w:spacing w:before="0" w:after="117" w:line="260" w:lineRule="exact"/>
        <w:ind w:left="4900" w:right="0" w:firstLine="0"/>
      </w:pPr>
      <w:r>
        <w:rPr>
          <w:lang w:val="ru-RU" w:eastAsia="ru-RU" w:bidi="ru-RU"/>
          <w:w w:val="100"/>
          <w:spacing w:val="0"/>
          <w:color w:val="000000"/>
          <w:position w:val="0"/>
        </w:rPr>
        <w:t>РЕШИЛА:</w:t>
      </w:r>
    </w:p>
    <w:p>
      <w:pPr>
        <w:pStyle w:val="Style7"/>
        <w:numPr>
          <w:ilvl w:val="0"/>
          <w:numId w:val="27"/>
        </w:numPr>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27"/>
        </w:numPr>
        <w:widowControl w:val="0"/>
        <w:keepNext w:val="0"/>
        <w:keepLines w:val="0"/>
        <w:shd w:val="clear" w:color="auto" w:fill="auto"/>
        <w:bidi w:val="0"/>
        <w:jc w:val="both"/>
        <w:spacing w:before="0" w:after="56"/>
        <w:ind w:left="0" w:right="20" w:firstLine="860"/>
      </w:pPr>
      <w:r>
        <w:rPr>
          <w:lang w:val="ru-RU" w:eastAsia="ru-RU" w:bidi="ru-RU"/>
          <w:w w:val="100"/>
          <w:spacing w:val="0"/>
          <w:color w:val="000000"/>
          <w:position w:val="0"/>
        </w:rPr>
        <w:t xml:space="preserve"> Признать Заказчика нарушившим требования пункта 1 части 1 статьи 33, части 8 статьи 34, пунктов 1, 2 части 1 статьи 64, части 5 статьи 65, части 6 статьи 66 Закона о контрактной системе, Правил от 30.08.2017 №1042.</w:t>
      </w:r>
    </w:p>
    <w:p>
      <w:pPr>
        <w:pStyle w:val="Style7"/>
        <w:numPr>
          <w:ilvl w:val="0"/>
          <w:numId w:val="27"/>
        </w:numPr>
        <w:widowControl w:val="0"/>
        <w:keepNext w:val="0"/>
        <w:keepLines w:val="0"/>
        <w:shd w:val="clear" w:color="auto" w:fill="auto"/>
        <w:bidi w:val="0"/>
        <w:jc w:val="both"/>
        <w:spacing w:before="0" w:after="64" w:line="326" w:lineRule="exact"/>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7"/>
        </w:numPr>
        <w:tabs>
          <w:tab w:leader="none" w:pos="6005" w:val="center"/>
          <w:tab w:leader="none" w:pos="7330" w:val="center"/>
          <w:tab w:leader="none" w:pos="7828" w:val="left"/>
        </w:tabs>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Передать соответствующему</w:t>
        <w:tab/>
        <w:t>должностному</w:t>
        <w:tab/>
        <w:t>лицу</w:t>
        <w:tab/>
        <w:t>Крымского УФАС</w:t>
      </w:r>
    </w:p>
    <w:p>
      <w:pPr>
        <w:pStyle w:val="Style7"/>
        <w:tabs>
          <w:tab w:leader="none" w:pos="6005" w:val="center"/>
          <w:tab w:leader="none" w:pos="6886" w:val="center"/>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России материалы дела №06/4184-17 для</w:t>
        <w:tab/>
        <w:t>рассмотрения</w:t>
        <w:tab/>
        <w:t>вопроса о возбуждении дела</w:t>
      </w:r>
    </w:p>
    <w:p>
      <w:pPr>
        <w:pStyle w:val="Style7"/>
        <w:widowControl w:val="0"/>
        <w:keepNext w:val="0"/>
        <w:keepLines w:val="0"/>
        <w:shd w:val="clear" w:color="auto" w:fill="auto"/>
        <w:bidi w:val="0"/>
        <w:jc w:val="both"/>
        <w:spacing w:before="0" w:after="60"/>
        <w:ind w:left="0" w:right="0" w:firstLine="0"/>
      </w:pPr>
      <w:r>
        <w:rPr>
          <w:lang w:val="ru-RU" w:eastAsia="ru-RU" w:bidi="ru-RU"/>
          <w:w w:val="100"/>
          <w:spacing w:val="0"/>
          <w:color w:val="000000"/>
          <w:position w:val="0"/>
        </w:rPr>
        <w:t>об административном правонарушении.</w:t>
      </w:r>
    </w:p>
    <w:p>
      <w:pPr>
        <w:pStyle w:val="Style7"/>
        <w:numPr>
          <w:ilvl w:val="0"/>
          <w:numId w:val="27"/>
        </w:numPr>
        <w:widowControl w:val="0"/>
        <w:keepNext w:val="0"/>
        <w:keepLines w:val="0"/>
        <w:shd w:val="clear" w:color="auto" w:fill="auto"/>
        <w:bidi w:val="0"/>
        <w:jc w:val="both"/>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№06/12548.</w:t>
      </w:r>
    </w:p>
    <w:p>
      <w:pPr>
        <w:pStyle w:val="Style7"/>
        <w:widowControl w:val="0"/>
        <w:keepNext w:val="0"/>
        <w:keepLines w:val="0"/>
        <w:shd w:val="clear" w:color="auto" w:fill="auto"/>
        <w:bidi w:val="0"/>
        <w:jc w:val="both"/>
        <w:spacing w:before="0" w:after="15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31"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31"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80"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15" w:val="left"/>
        </w:tabs>
        <w:widowControl w:val="0"/>
        <w:keepNext w:val="0"/>
        <w:keepLines w:val="0"/>
        <w:shd w:val="clear" w:color="auto" w:fill="auto"/>
        <w:bidi w:val="0"/>
        <w:jc w:val="both"/>
        <w:spacing w:before="0" w:after="0" w:line="260" w:lineRule="exact"/>
        <w:ind w:left="5780" w:right="0" w:firstLine="0"/>
        <w:sectPr>
          <w:footnotePr>
            <w:pos w:val="pageBottom"/>
            <w:numFmt w:val="decimal"/>
            <w:numRestart w:val="continuous"/>
          </w:footnotePr>
          <w:type w:val="continuous"/>
          <w:pgSz w:w="11906" w:h="16838"/>
          <w:pgMar w:top="1314" w:left="820" w:right="714" w:bottom="954"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12"/>
        <w:widowControl w:val="0"/>
        <w:keepNext w:val="0"/>
        <w:keepLines w:val="0"/>
        <w:shd w:val="clear" w:color="auto" w:fill="auto"/>
        <w:bidi w:val="0"/>
        <w:spacing w:before="51" w:after="0" w:line="326" w:lineRule="exact"/>
        <w:ind w:left="0" w:right="0" w:firstLine="0"/>
        <w:sectPr>
          <w:pgSz w:w="11906" w:h="16838"/>
          <w:pgMar w:top="1099" w:left="949" w:right="6402" w:bottom="729" w:header="0" w:footer="3" w:gutter="0"/>
          <w:rtlGutter w:val="0"/>
          <w:cols w:space="720"/>
          <w:noEndnote/>
          <w:docGrid w:linePitch="360"/>
        </w:sectPr>
      </w:pPr>
      <w:r>
        <w:rPr>
          <w:lang w:val="ru-RU" w:eastAsia="ru-RU" w:bidi="ru-RU"/>
          <w:w w:val="100"/>
          <w:spacing w:val="0"/>
          <w:color w:val="000000"/>
          <w:position w:val="0"/>
        </w:rPr>
        <w:t>ФЕДЕРАЛЬНАЯ АНТИМОНОПОЛЬНАЯ СЛУЖБА</w:t>
      </w:r>
    </w:p>
    <w:p>
      <w:pPr>
        <w:pStyle w:val="Style12"/>
        <w:widowControl w:val="0"/>
        <w:keepNext w:val="0"/>
        <w:keepLines w:val="0"/>
        <w:shd w:val="clear" w:color="auto" w:fill="auto"/>
        <w:bidi w:val="0"/>
        <w:spacing w:before="0" w:after="0" w:line="326" w:lineRule="exact"/>
        <w:ind w:left="0" w:right="40" w:firstLine="0"/>
      </w:pPr>
      <w:r>
        <w:rPr>
          <w:lang w:val="ru-RU" w:eastAsia="ru-RU" w:bidi="ru-RU"/>
          <w:w w:val="100"/>
          <w:spacing w:val="0"/>
          <w:color w:val="000000"/>
          <w:position w:val="0"/>
        </w:rPr>
        <w:t>УПРАВЛЕ</w:t>
      </w:r>
      <w:r>
        <w:rPr>
          <w:rStyle w:val="CharStyle27"/>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4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29"/>
        </w:numPr>
        <w:tabs>
          <w:tab w:leader="none" w:pos="1408" w:val="left"/>
        </w:tabs>
        <w:widowControl w:val="0"/>
        <w:keepNext w:val="0"/>
        <w:keepLines w:val="0"/>
        <w:shd w:val="clear" w:color="auto" w:fill="auto"/>
        <w:bidi w:val="0"/>
        <w:jc w:val="left"/>
        <w:spacing w:before="0" w:after="0" w:line="562" w:lineRule="exact"/>
        <w:ind w:left="20" w:right="1820" w:firstLine="0"/>
      </w:pPr>
      <w:r>
        <w:rPr>
          <w:lang w:val="ru-RU" w:eastAsia="ru-RU" w:bidi="ru-RU"/>
          <w:w w:val="100"/>
          <w:spacing w:val="0"/>
          <w:color w:val="000000"/>
          <w:position w:val="0"/>
        </w:rPr>
        <w:t>№06/12955 На № 1 от 01.11.2017</w:t>
      </w:r>
    </w:p>
    <w:p>
      <w:pPr>
        <w:pStyle w:val="Style7"/>
        <w:numPr>
          <w:ilvl w:val="0"/>
          <w:numId w:val="3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tabs>
          <w:tab w:leader="none" w:pos="5132" w:val="right"/>
        </w:tabs>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Федеральное государственное бюджетное образовательное</w:t>
        <w:tab/>
        <w:t>учреждение</w:t>
      </w:r>
    </w:p>
    <w:p>
      <w:pPr>
        <w:pStyle w:val="Style7"/>
        <w:widowControl w:val="0"/>
        <w:keepNext w:val="0"/>
        <w:keepLines w:val="0"/>
        <w:shd w:val="clear" w:color="auto" w:fill="auto"/>
        <w:bidi w:val="0"/>
        <w:jc w:val="left"/>
        <w:spacing w:before="0" w:after="240"/>
        <w:ind w:left="20" w:right="20" w:firstLine="0"/>
      </w:pPr>
      <w:r>
        <w:rPr>
          <w:lang w:val="ru-RU" w:eastAsia="ru-RU" w:bidi="ru-RU"/>
          <w:w w:val="100"/>
          <w:spacing w:val="0"/>
          <w:color w:val="000000"/>
          <w:position w:val="0"/>
        </w:rPr>
        <w:t>«Международный детский центр «Артек» 298645, Республика Крым, г. Ялта, пгт. Гурзуф, ул. Ленинградская, д. 41</w:t>
      </w:r>
    </w:p>
    <w:p>
      <w:pPr>
        <w:pStyle w:val="Style7"/>
        <w:numPr>
          <w:ilvl w:val="0"/>
          <w:numId w:val="3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240"/>
        <w:ind w:left="20" w:right="20" w:firstLine="0"/>
      </w:pPr>
      <w:r>
        <w:rPr>
          <w:lang w:val="ru-RU" w:eastAsia="ru-RU" w:bidi="ru-RU"/>
          <w:w w:val="100"/>
          <w:spacing w:val="0"/>
          <w:color w:val="000000"/>
          <w:position w:val="0"/>
        </w:rPr>
        <w:t>Бора Амирхан Феликсович Краснодарский край, г. Краснодар, ул. Крылатская, д. 2, кв. 10</w:t>
      </w:r>
    </w:p>
    <w:p>
      <w:pPr>
        <w:pStyle w:val="Style7"/>
        <w:numPr>
          <w:ilvl w:val="0"/>
          <w:numId w:val="3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ЗАО «Сбербанк - Автоматизированная система торгов»</w:t>
      </w:r>
    </w:p>
    <w:p>
      <w:pPr>
        <w:pStyle w:val="Style7"/>
        <w:widowControl w:val="0"/>
        <w:keepNext w:val="0"/>
        <w:keepLines w:val="0"/>
        <w:shd w:val="clear" w:color="auto" w:fill="auto"/>
        <w:bidi w:val="0"/>
        <w:jc w:val="left"/>
        <w:spacing w:before="0" w:after="0"/>
        <w:ind w:left="20" w:right="20" w:firstLine="0"/>
        <w:sectPr>
          <w:type w:val="continuous"/>
          <w:pgSz w:w="11906" w:h="16838"/>
          <w:pgMar w:top="1099" w:left="795" w:right="896" w:bottom="729" w:header="0" w:footer="3" w:gutter="0"/>
          <w:rtlGutter w:val="0"/>
          <w:cols w:num="2" w:space="720" w:equalWidth="0">
            <w:col w:w="4459" w:space="614"/>
            <w:col w:w="5141"/>
          </w:cols>
          <w:noEndnote/>
          <w:docGrid w:linePitch="360"/>
        </w:sectPr>
      </w:pPr>
      <w:r>
        <w:rPr>
          <w:lang w:val="ru-RU" w:eastAsia="ru-RU" w:bidi="ru-RU"/>
          <w:w w:val="100"/>
          <w:spacing w:val="0"/>
          <w:color w:val="000000"/>
          <w:position w:val="0"/>
        </w:rPr>
        <w:t>119435, г. Москва, Большой Саввинский переулок, д. 12, строение 9</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0" w:line="322" w:lineRule="exact"/>
        <w:ind w:left="0" w:right="0" w:firstLine="0"/>
        <w:sectPr>
          <w:type w:val="continuous"/>
          <w:pgSz w:w="11906" w:h="16838"/>
          <w:pgMar w:top="1099" w:left="1673" w:right="1308" w:bottom="729" w:header="0" w:footer="3" w:gutter="0"/>
          <w:rtlGutter w:val="0"/>
          <w:cols w:space="720"/>
          <w:noEndnote/>
          <w:docGrid w:linePitch="360"/>
        </w:sectPr>
      </w:pPr>
      <w:r>
        <w:rPr>
          <w:lang w:val="ru-RU" w:eastAsia="ru-RU" w:bidi="ru-RU"/>
          <w:w w:val="100"/>
          <w:spacing w:val="0"/>
          <w:color w:val="000000"/>
          <w:position w:val="0"/>
        </w:rPr>
        <w:t>Предписание по делу №06/4184-17 об устранении нарушений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67" w:y="6"/>
        <w:widowControl w:val="0"/>
        <w:keepNext w:val="0"/>
        <w:keepLines w:val="0"/>
        <w:shd w:val="clear" w:color="auto" w:fill="auto"/>
        <w:bidi w:val="0"/>
        <w:jc w:val="left"/>
        <w:spacing w:before="0" w:after="0" w:line="240" w:lineRule="exact"/>
        <w:ind w:left="100" w:right="0" w:firstLine="0"/>
      </w:pPr>
      <w:r>
        <w:rPr>
          <w:rStyle w:val="CharStyle8"/>
          <w:spacing w:val="0"/>
        </w:rPr>
        <w:t>09.11.2017</w:t>
      </w:r>
    </w:p>
    <w:p>
      <w:pPr>
        <w:pStyle w:val="Style7"/>
        <w:widowControl w:val="0"/>
        <w:keepNext w:val="0"/>
        <w:keepLines w:val="0"/>
        <w:shd w:val="clear" w:color="auto" w:fill="auto"/>
        <w:bidi w:val="0"/>
        <w:jc w:val="right"/>
        <w:spacing w:before="0" w:after="193" w:line="260" w:lineRule="exact"/>
        <w:ind w:left="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на основании решения Комиссии от 09.11.2017 по делу №06/4184-17 по итогам рассмотрения жалобы Заявителя от 01.11.2017 б/н (вх. №1464/10 от 02.11.2017) на действия Заказчика при проведении аукциона в электронной форме «Оказание услуг по санитарному содержанию комплекса детских лагерей</w:t>
      </w:r>
      <w:r>
        <w:br w:type="page"/>
      </w:r>
    </w:p>
    <w:p>
      <w:pPr>
        <w:pStyle w:val="Style7"/>
        <w:tabs>
          <w:tab w:leader="none" w:pos="10186" w:val="righ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"Прибрежный" ФГБОУ "МДЦ "Артек" в 2018 году» (извещение № 0375100001217000400)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зарегистрированным в Министерстве юст</w:t>
      </w:r>
      <w:r>
        <w:rPr>
          <w:rStyle w:val="CharStyle29"/>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ПРЕДПИСЫВАЕТ:</w:t>
      </w:r>
    </w:p>
    <w:p>
      <w:pPr>
        <w:pStyle w:val="Style7"/>
        <w:numPr>
          <w:ilvl w:val="0"/>
          <w:numId w:val="3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Единой комиссии Заказчика отменить протокол рассмотрения заявок на участие в электронном аукционе от 03.11.2017 №0375100001217000400-1 (далее - Протокол рассмотрения) и разместить информацию об отмене Протокола рассмотрения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33"/>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Заказчику:</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привести документацию об Аукционе в соответствие с положениями законодательства Российской Федерации о контрактной системе в сфере закупок и с учетом решения от 09.11.2017 по делу №06/4184-17 и разместить измененную документацию об Аукционе на официальном сайте;</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7"/>
        <w:numPr>
          <w:ilvl w:val="0"/>
          <w:numId w:val="3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5"/>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об отмене Протокола рассмотрения, о прекращении действия заявок, поданных на</w:t>
        <w:br w:type="page"/>
        <w:t>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33"/>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09.11.2017 по делу №06/4184-17.</w:t>
      </w:r>
    </w:p>
    <w:p>
      <w:pPr>
        <w:pStyle w:val="Style7"/>
        <w:numPr>
          <w:ilvl w:val="0"/>
          <w:numId w:val="33"/>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33"/>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02.11.2017 №06/12548.</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ind w:left="0" w:right="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57" w:val="right"/>
          <w:tab w:leader="none" w:pos="8390" w:val="right"/>
          <w:tab w:leader="none" w:pos="9605"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5" w:val="right"/>
          <w:tab w:leader="none" w:pos="8371" w:val="right"/>
          <w:tab w:leader="none" w:pos="954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0" w:firstLine="0"/>
      </w:pPr>
      <w:r>
        <w:rPr>
          <w:lang w:val="ru-RU" w:eastAsia="ru-RU" w:bidi="ru-RU"/>
          <w:w w:val="100"/>
          <w:spacing w:val="0"/>
          <w:color w:val="000000"/>
          <w:position w:val="0"/>
        </w:rPr>
        <w:t>О. А. Шалимова</w:t>
      </w:r>
    </w:p>
    <w:sectPr>
      <w:type w:val="continuous"/>
      <w:pgSz w:w="11906" w:h="16838"/>
      <w:pgMar w:top="1341" w:left="906" w:right="776" w:bottom="9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30"/>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30"/>
      <w:numFmt w:val="decimal"/>
      <w:lvlText w:val="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7"/>
      <w:numFmt w:val="decimal"/>
      <w:lvlText w:val="4.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6.%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7"/>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2.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2) + 13 pt,Не полужирный"/>
    <w:basedOn w:val="CharStyle9"/>
    <w:rPr>
      <w:lang w:val="ru-RU" w:eastAsia="ru-RU" w:bidi="ru-RU"/>
      <w:b/>
      <w:bCs/>
      <w:sz w:val="26"/>
      <w:szCs w:val="26"/>
      <w:w w:val="100"/>
      <w:spacing w:val="0"/>
      <w:color w:val="000000"/>
      <w:position w:val="0"/>
    </w:rPr>
  </w:style>
  <w:style w:type="character" w:customStyle="1" w:styleId="CharStyle11">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1"/>
    <w:rPr>
      <w:lang w:val="ru-RU" w:eastAsia="ru-RU" w:bidi="ru-RU"/>
      <w:u w:val="single"/>
      <w:w w:val="100"/>
      <w:spacing w:val="0"/>
      <w:color w:val="000000"/>
      <w:position w:val="0"/>
    </w:rPr>
  </w:style>
  <w:style w:type="character" w:customStyle="1" w:styleId="CharStyle15">
    <w:name w:val="Основной текст"/>
    <w:basedOn w:val="CharStyle11"/>
    <w:rPr>
      <w:lang w:val="ru-RU" w:eastAsia="ru-RU" w:bidi="ru-RU"/>
      <w:w w:val="100"/>
      <w:spacing w:val="0"/>
      <w:color w:val="000000"/>
      <w:position w:val="0"/>
    </w:rPr>
  </w:style>
  <w:style w:type="character" w:customStyle="1" w:styleId="CharStyle16">
    <w:name w:val="Основной текст"/>
    <w:basedOn w:val="CharStyle11"/>
    <w:rPr>
      <w:lang w:val="ru-RU" w:eastAsia="ru-RU" w:bidi="ru-RU"/>
      <w:w w:val="100"/>
      <w:spacing w:val="0"/>
      <w:color w:val="000000"/>
      <w:position w:val="0"/>
    </w:rPr>
  </w:style>
  <w:style w:type="character" w:customStyle="1" w:styleId="CharStyle17">
    <w:name w:val="Основной текст"/>
    <w:basedOn w:val="CharStyle11"/>
    <w:rPr>
      <w:lang w:val="ru-RU" w:eastAsia="ru-RU" w:bidi="ru-RU"/>
      <w:w w:val="100"/>
      <w:spacing w:val="0"/>
      <w:color w:val="000000"/>
      <w:position w:val="0"/>
    </w:rPr>
  </w:style>
  <w:style w:type="character" w:customStyle="1" w:styleId="CharStyle19">
    <w:name w:val="Подпись к таблице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Подпись к таблице"/>
    <w:basedOn w:val="CharStyle19"/>
    <w:rPr>
      <w:lang w:val="ru-RU" w:eastAsia="ru-RU" w:bidi="ru-RU"/>
      <w:w w:val="100"/>
      <w:spacing w:val="0"/>
      <w:color w:val="000000"/>
      <w:position w:val="0"/>
    </w:rPr>
  </w:style>
  <w:style w:type="character" w:customStyle="1" w:styleId="CharStyle21">
    <w:name w:val="Основной текст + 10,5 pt"/>
    <w:basedOn w:val="CharStyle11"/>
    <w:rPr>
      <w:lang w:val="ru-RU" w:eastAsia="ru-RU" w:bidi="ru-RU"/>
      <w:sz w:val="21"/>
      <w:szCs w:val="21"/>
      <w:w w:val="100"/>
      <w:spacing w:val="0"/>
      <w:color w:val="000000"/>
      <w:position w:val="0"/>
    </w:rPr>
  </w:style>
  <w:style w:type="character" w:customStyle="1" w:styleId="CharStyle22">
    <w:name w:val="Основной текст + 10,5 pt,Полужирный"/>
    <w:basedOn w:val="CharStyle11"/>
    <w:rPr>
      <w:lang w:val="ru-RU" w:eastAsia="ru-RU" w:bidi="ru-RU"/>
      <w:b/>
      <w:bCs/>
      <w:sz w:val="21"/>
      <w:szCs w:val="21"/>
      <w:w w:val="100"/>
      <w:spacing w:val="0"/>
      <w:color w:val="000000"/>
      <w:position w:val="0"/>
    </w:rPr>
  </w:style>
  <w:style w:type="character" w:customStyle="1" w:styleId="CharStyle23">
    <w:name w:val="Основной текст + 11 pt"/>
    <w:basedOn w:val="CharStyle11"/>
    <w:rPr>
      <w:lang w:val="ru-RU" w:eastAsia="ru-RU" w:bidi="ru-RU"/>
      <w:sz w:val="22"/>
      <w:szCs w:val="22"/>
      <w:w w:val="100"/>
      <w:spacing w:val="0"/>
      <w:color w:val="000000"/>
      <w:position w:val="0"/>
    </w:rPr>
  </w:style>
  <w:style w:type="character" w:customStyle="1" w:styleId="CharStyle24">
    <w:name w:val="Основной текст + 11 pt,Полужирный"/>
    <w:basedOn w:val="CharStyle11"/>
    <w:rPr>
      <w:lang w:val="ru-RU" w:eastAsia="ru-RU" w:bidi="ru-RU"/>
      <w:b/>
      <w:bCs/>
      <w:sz w:val="22"/>
      <w:szCs w:val="22"/>
      <w:w w:val="100"/>
      <w:spacing w:val="0"/>
      <w:color w:val="000000"/>
      <w:position w:val="0"/>
    </w:rPr>
  </w:style>
  <w:style w:type="character" w:customStyle="1" w:styleId="CharStyle26">
    <w:name w:val="Основной текст (5)_"/>
    <w:basedOn w:val="DefaultParagraphFont"/>
    <w:link w:val="Style25"/>
    <w:rPr>
      <w:b w:val="0"/>
      <w:bCs w:val="0"/>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3)"/>
    <w:basedOn w:val="CharStyle13"/>
    <w:rPr>
      <w:lang w:val="ru-RU" w:eastAsia="ru-RU" w:bidi="ru-RU"/>
      <w:u w:val="single"/>
      <w:w w:val="100"/>
      <w:spacing w:val="0"/>
      <w:color w:val="000000"/>
      <w:position w:val="0"/>
    </w:rPr>
  </w:style>
  <w:style w:type="character" w:customStyle="1" w:styleId="CharStyle28">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9">
    <w:name w:val="Основной текст"/>
    <w:basedOn w:val="CharStyle11"/>
    <w:rPr>
      <w:lang w:val="ru-RU" w:eastAsia="ru-RU" w:bidi="ru-RU"/>
      <w:u w:val="single"/>
      <w:w w:val="100"/>
      <w:spacing w:val="0"/>
      <w:color w:val="000000"/>
      <w:position w:val="0"/>
    </w:rPr>
  </w:style>
  <w:style w:type="character" w:customStyle="1" w:styleId="CharStyle30">
    <w:name w:val="Основной текст + 11 pt"/>
    <w:basedOn w:val="CharStyle11"/>
    <w:rPr>
      <w:lang w:val="en-US" w:eastAsia="en-US" w:bidi="en-US"/>
      <w:u w:val="single"/>
      <w:sz w:val="22"/>
      <w:szCs w:val="22"/>
      <w:w w:val="100"/>
      <w:spacing w:val="0"/>
      <w:color w:val="000000"/>
      <w:position w:val="0"/>
    </w:rPr>
  </w:style>
  <w:style w:type="character" w:customStyle="1" w:styleId="CharStyle31">
    <w:name w:val="Основной текст + 11 pt"/>
    <w:basedOn w:val="CharStyle11"/>
    <w:rPr>
      <w:lang w:val="en-US" w:eastAsia="en-US" w:bidi="en-US"/>
      <w:sz w:val="22"/>
      <w:szCs w:val="22"/>
      <w:w w:val="100"/>
      <w:spacing w:val="0"/>
      <w:color w:val="000000"/>
      <w:position w:val="0"/>
    </w:rPr>
  </w:style>
  <w:style w:type="character" w:customStyle="1" w:styleId="CharStyle32">
    <w:name w:val="Основной текст + 11 pt"/>
    <w:basedOn w:val="CharStyle11"/>
    <w:rPr>
      <w:lang w:val="en-US" w:eastAsia="en-US" w:bidi="en-US"/>
      <w:u w:val="single"/>
      <w:sz w:val="22"/>
      <w:szCs w:val="22"/>
      <w:w w:val="100"/>
      <w:spacing w:val="0"/>
      <w:color w:val="000000"/>
      <w:position w:val="0"/>
    </w:rPr>
  </w:style>
  <w:style w:type="paragraph" w:customStyle="1" w:styleId="Style3">
    <w:name w:val="Основной текст (2)"/>
    <w:basedOn w:val="Normal"/>
    <w:link w:val="CharStyle9"/>
    <w:pPr>
      <w:widowControl w:val="0"/>
      <w:shd w:val="clear" w:color="auto" w:fill="FFFFFF"/>
      <w:jc w:val="center"/>
      <w:spacing w:before="300" w:after="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28"/>
    <w:pPr>
      <w:widowControl w:val="0"/>
      <w:shd w:val="clear" w:color="auto" w:fill="FFFFFF"/>
      <w:jc w:val="center"/>
      <w:spacing w:before="180"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11"/>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240" w:after="240" w:line="341"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Подпись к таблице"/>
    <w:basedOn w:val="Normal"/>
    <w:link w:val="CharStyle19"/>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5)"/>
    <w:basedOn w:val="Normal"/>
    <w:link w:val="CharStyle26"/>
    <w:pPr>
      <w:widowControl w:val="0"/>
      <w:shd w:val="clear" w:color="auto" w:fill="FFFFFF"/>
      <w:jc w:val="both"/>
      <w:spacing w:before="240" w:line="274"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Муравьев Максим Сергеевич</dc:creator>
  <cp:keywords/>
</cp:coreProperties>
</file>