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rStyle w:val="CharStyle10"/>
        </w:rPr>
        <w:t>ФГБУ «НМИЦ ТИО им. ак. В.И. Шумакова» Минздрава России</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"mailto:1582244@mail.ru" </w:instrText>
      </w:r>
      <w:r>
        <w:fldChar w:fldCharType="separate"/>
      </w:r>
      <w:r>
        <w:rPr>
          <w:rStyle w:val="CharStyle10"/>
          <w:lang w:val="en-US" w:eastAsia="en-US"/>
        </w:rPr>
        <w:t>1582244@mail.ru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ООО «Компания «Н.В.П»</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"mailto:vak_pro@list.ru" </w:instrText>
      </w:r>
      <w:r>
        <w:fldChar w:fldCharType="separate"/>
      </w:r>
      <w:r>
        <w:rPr>
          <w:rStyle w:val="CharStyle10"/>
          <w:lang w:val="en-US" w:eastAsia="en-US"/>
        </w:rPr>
        <w:t>vak_pro@list.ru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АО «ЕЭТП»</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535" w:bottom="612" w:left="1135" w:header="0" w:footer="3" w:gutter="0"/>
          <w:pgNumType w:start="1"/>
          <w:cols w:num="2" w:space="1191"/>
          <w:noEndnote/>
          <w:titlePg/>
          <w:rtlGutter w:val="0"/>
          <w:docGrid w:linePitch="360"/>
        </w:sectPr>
      </w:pPr>
      <w:r>
        <w:fldChar w:fldCharType="begin"/>
      </w:r>
      <w:r>
        <w:rPr/>
        <w:instrText> HYPERLINK "mailto:ko@roseltorg.ru" </w:instrText>
      </w:r>
      <w:r>
        <w:fldChar w:fldCharType="separate"/>
      </w:r>
      <w:r>
        <w:rPr>
          <w:rStyle w:val="CharStyle10"/>
          <w:lang w:val="en-US" w:eastAsia="en-US"/>
        </w:rPr>
        <w:t>ko@roseltorg.ru</w:t>
      </w:r>
      <w:r>
        <w:fldChar w:fldCharType="end"/>
      </w:r>
    </w:p>
    <w:p>
      <w:pPr>
        <w:widowControl w:val="0"/>
        <w:spacing w:after="335" w:line="1" w:lineRule="exact"/>
      </w:pPr>
      <w:r>
        <w:drawing>
          <wp:anchor distT="0" distB="0" distL="0" distR="0" simplePos="0" relativeHeight="62914696" behindDoc="1" locked="0" layoutInCell="1" allowOverlap="1">
            <wp:simplePos x="0" y="0"/>
            <wp:positionH relativeFrom="page">
              <wp:posOffset>708660</wp:posOffset>
            </wp:positionH>
            <wp:positionV relativeFrom="paragraph">
              <wp:posOffset>12700</wp:posOffset>
            </wp:positionV>
            <wp:extent cx="219710" cy="213360"/>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219710" cy="2133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94" w:right="536" w:bottom="650" w:left="1101" w:header="0" w:footer="3" w:gutter="0"/>
          <w:cols w:space="720"/>
          <w:noEndnote/>
          <w:rtlGutter w:val="0"/>
          <w:docGrid w:linePitch="360"/>
        </w:sectPr>
      </w:pPr>
    </w:p>
    <w:p>
      <w:pPr>
        <w:pStyle w:val="Style9"/>
        <w:keepNext w:val="0"/>
        <w:keepLines w:val="0"/>
        <w:widowControl w:val="0"/>
        <w:shd w:val="clear" w:color="auto" w:fill="auto"/>
        <w:bidi w:val="0"/>
        <w:spacing w:before="0" w:after="80" w:line="240" w:lineRule="auto"/>
        <w:ind w:left="0" w:right="0" w:firstLine="0"/>
        <w:jc w:val="center"/>
      </w:pPr>
      <w:r>
        <w:rPr>
          <w:rStyle w:val="CharStyle10"/>
          <w:b/>
          <w:bCs/>
        </w:rPr>
        <w:t>РЕШЕНИЕ</w:t>
      </w:r>
    </w:p>
    <w:p>
      <w:pPr>
        <w:pStyle w:val="Style9"/>
        <w:keepNext w:val="0"/>
        <w:keepLines w:val="0"/>
        <w:widowControl w:val="0"/>
        <w:shd w:val="clear" w:color="auto" w:fill="auto"/>
        <w:tabs>
          <w:tab w:pos="8813" w:val="left"/>
        </w:tabs>
        <w:bidi w:val="0"/>
        <w:spacing w:before="0" w:after="0"/>
        <w:ind w:left="0" w:right="0" w:firstLine="0"/>
        <w:jc w:val="center"/>
      </w:pPr>
      <w:r>
        <w:rPr>
          <w:rStyle w:val="CharStyle10"/>
          <w:b/>
          <w:bCs/>
        </w:rPr>
        <w:t>по делу №077/06/105-5718/2026 о нарушении</w:t>
        <w:br/>
        <w:t>законодательства о контрактной системе</w:t>
        <w:br/>
        <w:t>06.05.2026</w:t>
        <w:tab/>
        <w:t>г. Москва</w:t>
      </w:r>
    </w:p>
    <w:p>
      <w:pPr>
        <w:pStyle w:val="Style9"/>
        <w:keepNext w:val="0"/>
        <w:keepLines w:val="0"/>
        <w:widowControl w:val="0"/>
        <w:shd w:val="clear" w:color="auto" w:fill="auto"/>
        <w:bidi w:val="0"/>
        <w:spacing w:before="0" w:after="0"/>
        <w:ind w:left="0" w:right="0" w:firstLine="700"/>
        <w:jc w:val="both"/>
      </w:pPr>
      <w:r>
        <w:rPr>
          <w:rStyle w:val="CharStyle1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ind w:left="0" w:right="0" w:firstLine="700"/>
        <w:jc w:val="both"/>
      </w:pPr>
      <w:r>
        <w:rPr>
          <w:rStyle w:val="CharStyle10"/>
        </w:rPr>
        <w:t>Председательствующего: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ind w:left="0" w:right="0" w:firstLine="700"/>
        <w:jc w:val="both"/>
      </w:pPr>
      <w:r>
        <w:rPr>
          <w:rStyle w:val="CharStyle10"/>
        </w:rPr>
        <w:t>Членов Комиссии:</w:t>
      </w:r>
    </w:p>
    <w:p>
      <w:pPr>
        <w:pStyle w:val="Style9"/>
        <w:keepNext w:val="0"/>
        <w:keepLines w:val="0"/>
        <w:widowControl w:val="0"/>
        <w:shd w:val="clear" w:color="auto" w:fill="auto"/>
        <w:bidi w:val="0"/>
        <w:spacing w:before="0" w:after="0"/>
        <w:ind w:left="0" w:right="0" w:firstLine="700"/>
        <w:jc w:val="both"/>
      </w:pPr>
      <w:r>
        <w:rPr>
          <w:rStyle w:val="CharStyle10"/>
        </w:rPr>
        <w:t>Специалиста-эксперта отдела обжалования государственных закупок Е.С. Переверзевой,</w:t>
      </w:r>
    </w:p>
    <w:p>
      <w:pPr>
        <w:pStyle w:val="Style9"/>
        <w:keepNext w:val="0"/>
        <w:keepLines w:val="0"/>
        <w:widowControl w:val="0"/>
        <w:shd w:val="clear" w:color="auto" w:fill="auto"/>
        <w:bidi w:val="0"/>
        <w:spacing w:before="0" w:after="0"/>
        <w:ind w:left="0" w:right="0" w:firstLine="700"/>
        <w:jc w:val="both"/>
      </w:pPr>
      <w:r>
        <w:rPr>
          <w:rStyle w:val="CharStyle10"/>
        </w:rPr>
        <w:t>Главного государственного инспектора отдела обжалования государственных закупок А.А. Матюшенко,</w:t>
      </w:r>
    </w:p>
    <w:p>
      <w:pPr>
        <w:pStyle w:val="Style9"/>
        <w:keepNext w:val="0"/>
        <w:keepLines w:val="0"/>
        <w:widowControl w:val="0"/>
        <w:shd w:val="clear" w:color="auto" w:fill="auto"/>
        <w:bidi w:val="0"/>
        <w:spacing w:before="0" w:after="0"/>
        <w:ind w:left="0" w:right="0" w:firstLine="700"/>
        <w:jc w:val="both"/>
      </w:pPr>
      <w:r>
        <w:rPr>
          <w:rStyle w:val="CharStyle10"/>
        </w:rPr>
        <w:t>рассмотрение жалобы проводилось дистанционно (посредством видео-конференц-связи) при участии представителей: ООО «Компания «Н.В.П»: Воденникова Д.В. (дов.№б/н от 16.07.2025), ФГБУ «НМИЦ ТИО им. ак. В.И. Шумакова» Минздрава России: Максимова И.В. (дов.№27 от 02.04.2026), Шиловец В.А. (дов.№65 от 11.09.2025),</w:t>
      </w:r>
    </w:p>
    <w:p>
      <w:pPr>
        <w:pStyle w:val="Style9"/>
        <w:keepNext w:val="0"/>
        <w:keepLines w:val="0"/>
        <w:widowControl w:val="0"/>
        <w:shd w:val="clear" w:color="auto" w:fill="auto"/>
        <w:bidi w:val="0"/>
        <w:spacing w:before="0" w:after="420"/>
        <w:ind w:left="0" w:right="0" w:firstLine="700"/>
        <w:jc w:val="both"/>
      </w:pPr>
      <w:r>
        <w:rPr>
          <w:rStyle w:val="CharStyle10"/>
        </w:rPr>
        <w:t>рассмотрев жалобу ООО «Компания «Н.В.П» (далее — Заявитель) на действия ФГБУ «НМИЦ ТИО им. ак. В.И. Шумакова» Минздрава России (далее - Заказчик) при проведении электронного аукциона на право заключения государственного контракта на поставка халатов операционных, одноразового использования для нужд ФГБУ «НМИЦ ТИО им. ак. В.И. Шумакова» Минздрава России (Закупка № 0373100091426000419)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keepLines/>
        <w:widowControl w:val="0"/>
        <w:shd w:val="clear" w:color="auto" w:fill="auto"/>
        <w:bidi w:val="0"/>
        <w:spacing w:before="0" w:line="240" w:lineRule="auto"/>
        <w:ind w:left="0" w:right="0"/>
        <w:jc w:val="left"/>
      </w:pPr>
      <w:bookmarkStart w:id="0" w:name="bookmark0"/>
      <w:r>
        <w:rPr>
          <w:rStyle w:val="CharStyle13"/>
        </w:rPr>
        <w:t>lllllll■IIИIIII</w:t>
      </w:r>
      <w:bookmarkEnd w:id="0"/>
    </w:p>
    <w:p>
      <w:pPr>
        <w:pStyle w:val="Style9"/>
        <w:keepNext w:val="0"/>
        <w:keepLines w:val="0"/>
        <w:widowControl w:val="0"/>
        <w:shd w:val="clear" w:color="auto" w:fill="auto"/>
        <w:bidi w:val="0"/>
        <w:spacing w:before="0" w:after="300"/>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ind w:left="0" w:right="0" w:firstLine="720"/>
        <w:jc w:val="both"/>
      </w:pPr>
      <w:r>
        <w:rPr>
          <w:rStyle w:val="CharStyle10"/>
        </w:rPr>
        <w:t>В Московское УФАС России поступила жалоба Заявителя на действия комиссии по осуществлению закупок Заказчика при проведении вышеуказанного аукциона.</w:t>
      </w:r>
    </w:p>
    <w:p>
      <w:pPr>
        <w:pStyle w:val="Style9"/>
        <w:keepNext w:val="0"/>
        <w:keepLines w:val="0"/>
        <w:widowControl w:val="0"/>
        <w:shd w:val="clear" w:color="auto" w:fill="auto"/>
        <w:bidi w:val="0"/>
        <w:spacing w:before="0" w:after="0"/>
        <w:ind w:left="0" w:right="0" w:firstLine="720"/>
        <w:jc w:val="both"/>
      </w:pPr>
      <w:r>
        <w:rPr>
          <w:rStyle w:val="CharStyle10"/>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ind w:left="0" w:right="0" w:firstLine="720"/>
        <w:jc w:val="both"/>
      </w:pPr>
      <w:r>
        <w:rPr>
          <w:rStyle w:val="CharStyle10"/>
        </w:rPr>
        <w:t>В составе жалобы Заявитель указывает, что комиссией по осуществлению закупок Заказчика нарушены нормы Закона о контрактной системе в результате отклонения заявки участника закупки ООО «Компания «Н.В.П».</w:t>
      </w:r>
    </w:p>
    <w:p>
      <w:pPr>
        <w:pStyle w:val="Style9"/>
        <w:keepNext w:val="0"/>
        <w:keepLines w:val="0"/>
        <w:widowControl w:val="0"/>
        <w:shd w:val="clear" w:color="auto" w:fill="auto"/>
        <w:bidi w:val="0"/>
        <w:spacing w:before="0" w:after="0"/>
        <w:ind w:left="0" w:right="0" w:firstLine="720"/>
        <w:jc w:val="both"/>
      </w:pPr>
      <w:r>
        <w:rPr>
          <w:rStyle w:val="CharStyle10"/>
        </w:rPr>
        <w:t xml:space="preserve">Согласно протоколу подведения итогов определения поставщика (подрядчика, исполнителя) от </w:t>
      </w:r>
      <w:r>
        <w:rPr>
          <w:rStyle w:val="CharStyle10"/>
          <w:lang w:val="en-US" w:eastAsia="en-US"/>
        </w:rPr>
        <w:t xml:space="preserve">24.04.2026 </w:t>
      </w:r>
      <w:r>
        <w:rPr>
          <w:rStyle w:val="CharStyle10"/>
        </w:rPr>
        <w:t xml:space="preserve">№ИЭА1 заявка участника закупки ООО «Компания «Н.В.П», с идентификационным номером </w:t>
      </w:r>
      <w:r>
        <w:rPr>
          <w:rStyle w:val="CharStyle10"/>
          <w:lang w:val="en-US" w:eastAsia="en-US"/>
        </w:rPr>
        <w:t xml:space="preserve">3130112, </w:t>
      </w:r>
      <w:r>
        <w:rPr>
          <w:rStyle w:val="CharStyle10"/>
        </w:rPr>
        <w:t>отклонена комиссией по осуществлению закупок Заказчика на следующем основании: «</w:t>
      </w:r>
      <w:r>
        <w:rPr>
          <w:rStyle w:val="CharStyle10"/>
          <w:i/>
          <w:iCs/>
        </w:rPr>
        <w:t>Отклонить заявку на участие в закупке по п.8 ч.12 ст.48 №44-ФЗ «Выявление недостоверной информации, содержащейся в заявке на участие в закупке»</w:t>
      </w:r>
    </w:p>
    <w:p>
      <w:pPr>
        <w:pStyle w:val="Style9"/>
        <w:keepNext w:val="0"/>
        <w:keepLines w:val="0"/>
        <w:widowControl w:val="0"/>
        <w:shd w:val="clear" w:color="auto" w:fill="auto"/>
        <w:bidi w:val="0"/>
        <w:spacing w:before="0" w:after="0"/>
        <w:ind w:left="0" w:right="0" w:firstLine="720"/>
        <w:jc w:val="both"/>
      </w:pPr>
      <w:r>
        <w:rPr>
          <w:rStyle w:val="CharStyle10"/>
          <w:i/>
          <w:iCs/>
        </w:rPr>
        <w:t xml:space="preserve">Участником предложен товар «Халат хирургический» по регистрационному удостоверению ФСР </w:t>
      </w:r>
      <w:r>
        <w:rPr>
          <w:rStyle w:val="CharStyle10"/>
          <w:i/>
          <w:iCs/>
          <w:lang w:val="en-US" w:eastAsia="en-US"/>
        </w:rPr>
        <w:t xml:space="preserve">2011/12866. </w:t>
      </w:r>
      <w:r>
        <w:rPr>
          <w:rStyle w:val="CharStyle10"/>
          <w:i/>
          <w:iCs/>
        </w:rPr>
        <w:t xml:space="preserve">Вместе с тем в заявке участника по характеристике «Длина халата» указано значение </w:t>
      </w:r>
      <w:r>
        <w:rPr>
          <w:rStyle w:val="CharStyle10"/>
          <w:i/>
          <w:iCs/>
          <w:lang w:val="en-US" w:eastAsia="en-US"/>
        </w:rPr>
        <w:t xml:space="preserve">140 </w:t>
      </w:r>
      <w:r>
        <w:rPr>
          <w:rStyle w:val="CharStyle10"/>
          <w:i/>
          <w:iCs/>
        </w:rPr>
        <w:t xml:space="preserve">сантиметров в отношении позиций </w:t>
      </w:r>
      <w:r>
        <w:rPr>
          <w:rStyle w:val="CharStyle10"/>
          <w:i/>
          <w:iCs/>
          <w:lang w:val="en-US" w:eastAsia="en-US"/>
        </w:rPr>
        <w:t xml:space="preserve">[1, 3, 4, 5, 6, 8], 141 </w:t>
      </w:r>
      <w:r>
        <w:rPr>
          <w:rStyle w:val="CharStyle10"/>
          <w:i/>
          <w:iCs/>
        </w:rPr>
        <w:t xml:space="preserve">сантиметр в отношении позиции </w:t>
      </w:r>
      <w:r>
        <w:rPr>
          <w:rStyle w:val="CharStyle10"/>
          <w:i/>
          <w:iCs/>
          <w:lang w:val="en-US" w:eastAsia="en-US"/>
        </w:rPr>
        <w:t xml:space="preserve">2 </w:t>
      </w:r>
      <w:r>
        <w:rPr>
          <w:rStyle w:val="CharStyle10"/>
          <w:i/>
          <w:iCs/>
        </w:rPr>
        <w:t xml:space="preserve">и </w:t>
      </w:r>
      <w:r>
        <w:rPr>
          <w:rStyle w:val="CharStyle10"/>
          <w:i/>
          <w:iCs/>
          <w:lang w:val="en-US" w:eastAsia="en-US"/>
        </w:rPr>
        <w:t xml:space="preserve">160 </w:t>
      </w:r>
      <w:r>
        <w:rPr>
          <w:rStyle w:val="CharStyle10"/>
          <w:i/>
          <w:iCs/>
        </w:rPr>
        <w:t xml:space="preserve">сантиметров в отношении позиции </w:t>
      </w:r>
      <w:r>
        <w:rPr>
          <w:rStyle w:val="CharStyle10"/>
          <w:i/>
          <w:iCs/>
          <w:lang w:val="en-US" w:eastAsia="en-US"/>
        </w:rPr>
        <w:t xml:space="preserve">7, </w:t>
      </w:r>
      <w:r>
        <w:rPr>
          <w:rStyle w:val="CharStyle10"/>
          <w:i/>
          <w:iCs/>
        </w:rPr>
        <w:t xml:space="preserve">по характеристике «Плотность материала халата на метр квадратный» указано значение </w:t>
      </w:r>
      <w:r>
        <w:rPr>
          <w:rStyle w:val="CharStyle10"/>
          <w:i/>
          <w:iCs/>
          <w:lang w:val="en-US" w:eastAsia="en-US"/>
        </w:rPr>
        <w:t xml:space="preserve">68 </w:t>
      </w:r>
      <w:r>
        <w:rPr>
          <w:rStyle w:val="CharStyle10"/>
          <w:i/>
          <w:iCs/>
        </w:rPr>
        <w:t xml:space="preserve">грамм в отношении позиция </w:t>
      </w:r>
      <w:r>
        <w:rPr>
          <w:rStyle w:val="CharStyle10"/>
          <w:i/>
          <w:iCs/>
          <w:lang w:val="en-US" w:eastAsia="en-US"/>
        </w:rPr>
        <w:t>4.</w:t>
      </w:r>
    </w:p>
    <w:p>
      <w:pPr>
        <w:pStyle w:val="Style9"/>
        <w:keepNext w:val="0"/>
        <w:keepLines w:val="0"/>
        <w:widowControl w:val="0"/>
        <w:shd w:val="clear" w:color="auto" w:fill="auto"/>
        <w:bidi w:val="0"/>
        <w:spacing w:before="0" w:after="0"/>
        <w:ind w:left="0" w:right="0" w:firstLine="720"/>
        <w:jc w:val="both"/>
      </w:pPr>
      <w:r>
        <w:rPr>
          <w:rStyle w:val="CharStyle10"/>
          <w:i/>
          <w:iCs/>
        </w:rPr>
        <w:t xml:space="preserve">Однако комиссией установлено, в соответствии с данными, размещенными в открытых информационных ресурсах на официальных сайтах, длина халата хирургического по регистрационному удостоверению ФСР </w:t>
      </w:r>
      <w:r>
        <w:rPr>
          <w:rStyle w:val="CharStyle10"/>
          <w:i/>
          <w:iCs/>
          <w:lang w:val="en-US" w:eastAsia="en-US"/>
        </w:rPr>
        <w:t xml:space="preserve">2011/12866 </w:t>
      </w:r>
      <w:r>
        <w:rPr>
          <w:rStyle w:val="CharStyle10"/>
          <w:i/>
          <w:iCs/>
        </w:rPr>
        <w:t xml:space="preserve">составляет </w:t>
      </w:r>
      <w:r>
        <w:rPr>
          <w:rStyle w:val="CharStyle10"/>
          <w:i/>
          <w:iCs/>
          <w:lang w:val="en-US" w:eastAsia="en-US"/>
        </w:rPr>
        <w:t xml:space="preserve">1200 </w:t>
      </w:r>
      <w:r>
        <w:rPr>
          <w:rStyle w:val="CharStyle10"/>
          <w:i/>
          <w:iCs/>
        </w:rPr>
        <w:t xml:space="preserve">миллиметров, плотность материала </w:t>
      </w:r>
      <w:r>
        <w:rPr>
          <w:rStyle w:val="CharStyle10"/>
          <w:i/>
          <w:iCs/>
          <w:lang w:val="en-US" w:eastAsia="en-US"/>
        </w:rPr>
        <w:t xml:space="preserve">25-60 </w:t>
      </w:r>
      <w:r>
        <w:rPr>
          <w:rStyle w:val="CharStyle10"/>
          <w:i/>
          <w:iCs/>
        </w:rPr>
        <w:t>г/кв. метр.</w:t>
      </w:r>
    </w:p>
    <w:p>
      <w:pPr>
        <w:pStyle w:val="Style9"/>
        <w:keepNext w:val="0"/>
        <w:keepLines w:val="0"/>
        <w:widowControl w:val="0"/>
        <w:shd w:val="clear" w:color="auto" w:fill="auto"/>
        <w:bidi w:val="0"/>
        <w:spacing w:before="0" w:after="0"/>
        <w:ind w:left="0" w:right="0" w:firstLine="720"/>
        <w:jc w:val="both"/>
      </w:pPr>
      <w:r>
        <w:rPr>
          <w:rStyle w:val="CharStyle10"/>
          <w:i/>
          <w:iCs/>
        </w:rPr>
        <w:t xml:space="preserve">Выявленное несоответствие нарушают положения извещения, предусмотренные п. </w:t>
      </w:r>
      <w:r>
        <w:rPr>
          <w:rStyle w:val="CharStyle10"/>
          <w:i/>
          <w:iCs/>
          <w:lang w:val="en-US" w:eastAsia="en-US"/>
        </w:rPr>
        <w:t xml:space="preserve">1.3.3 </w:t>
      </w:r>
      <w:r>
        <w:rPr>
          <w:rStyle w:val="CharStyle10"/>
          <w:i/>
          <w:iCs/>
        </w:rPr>
        <w:t xml:space="preserve">Приложения </w:t>
      </w:r>
      <w:r>
        <w:rPr>
          <w:rStyle w:val="CharStyle10"/>
          <w:i/>
          <w:iCs/>
          <w:lang w:val="en-US" w:eastAsia="en-US"/>
        </w:rPr>
        <w:t xml:space="preserve">4 </w:t>
      </w:r>
      <w:r>
        <w:rPr>
          <w:rStyle w:val="CharStyle10"/>
          <w:i/>
          <w:iCs/>
        </w:rPr>
        <w:t xml:space="preserve">«Требования к содержанию, составу заявки на участие в закупке» Извещения, а также положения Закона о контрактной системе, предусмотренные пп. в п.2 ч.1 ст. </w:t>
      </w:r>
      <w:r>
        <w:rPr>
          <w:rStyle w:val="CharStyle10"/>
          <w:i/>
          <w:iCs/>
          <w:lang w:val="en-US" w:eastAsia="en-US"/>
        </w:rPr>
        <w:t xml:space="preserve">43 </w:t>
      </w:r>
      <w:r>
        <w:rPr>
          <w:rStyle w:val="CharStyle10"/>
          <w:i/>
          <w:iCs/>
        </w:rPr>
        <w:t xml:space="preserve">Закона </w:t>
      </w:r>
      <w:r>
        <w:rPr>
          <w:rStyle w:val="CharStyle10"/>
          <w:i/>
          <w:iCs/>
          <w:lang w:val="en-US" w:eastAsia="en-US"/>
        </w:rPr>
        <w:t xml:space="preserve">№ </w:t>
      </w:r>
      <w:r>
        <w:rPr>
          <w:rStyle w:val="CharStyle10"/>
          <w:i/>
          <w:iCs/>
        </w:rPr>
        <w:t>44-ФЗ.</w:t>
      </w:r>
      <w:r>
        <w:rPr>
          <w:rStyle w:val="CharStyle10"/>
        </w:rPr>
        <w:t>».</w:t>
      </w:r>
    </w:p>
    <w:p>
      <w:pPr>
        <w:pStyle w:val="Style9"/>
        <w:keepNext w:val="0"/>
        <w:keepLines w:val="0"/>
        <w:widowControl w:val="0"/>
        <w:shd w:val="clear" w:color="auto" w:fill="auto"/>
        <w:bidi w:val="0"/>
        <w:spacing w:before="0" w:after="0"/>
        <w:ind w:left="0" w:right="0" w:firstLine="720"/>
        <w:jc w:val="both"/>
      </w:pPr>
      <w:r>
        <w:rPr>
          <w:rStyle w:val="CharStyle10"/>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ind w:left="0" w:right="0" w:firstLine="720"/>
        <w:jc w:val="both"/>
        <w:sectPr>
          <w:footnotePr>
            <w:pos w:val="pageBottom"/>
            <w:numFmt w:val="decimal"/>
            <w:numRestart w:val="continuous"/>
          </w:footnotePr>
          <w:type w:val="continuous"/>
          <w:pgSz w:w="11900" w:h="16840"/>
          <w:pgMar w:top="415" w:right="538" w:bottom="691" w:left="1089" w:header="0" w:footer="3" w:gutter="0"/>
          <w:cols w:space="720"/>
          <w:noEndnote/>
          <w:rtlGutter w:val="0"/>
          <w:docGrid w:linePitch="360"/>
        </w:sectPr>
      </w:pPr>
      <w:r>
        <w:rPr>
          <w:rStyle w:val="CharStyle1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w:t>
      </w:r>
    </w:p>
    <w:p>
      <w:pPr>
        <w:pStyle w:val="Style9"/>
        <w:keepNext w:val="0"/>
        <w:keepLines w:val="0"/>
        <w:widowControl w:val="0"/>
        <w:shd w:val="clear" w:color="auto" w:fill="auto"/>
        <w:bidi w:val="0"/>
        <w:spacing w:before="0" w:after="0"/>
        <w:ind w:left="0" w:right="0" w:firstLine="0"/>
        <w:jc w:val="both"/>
      </w:pPr>
      <w:r>
        <w:rPr>
          <w:rStyle w:val="CharStyle10"/>
        </w:rPr>
        <w:t>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ind w:left="0" w:right="0" w:firstLine="700"/>
        <w:jc w:val="both"/>
      </w:pPr>
      <w:r>
        <w:rPr>
          <w:rStyle w:val="CharStyle10"/>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ind w:left="0" w:right="0" w:firstLine="700"/>
        <w:jc w:val="both"/>
      </w:pPr>
      <w:r>
        <w:rPr>
          <w:rStyle w:val="CharStyle10"/>
        </w:rPr>
        <w:t>Комиссией Управления определено, что, согласно описанию объекта закупки, Заказчиком закупается, например, следующие изделия:</w:t>
      </w:r>
    </w:p>
    <w:p>
      <w:pPr>
        <w:pStyle w:val="Style9"/>
        <w:keepNext w:val="0"/>
        <w:keepLines w:val="0"/>
        <w:widowControl w:val="0"/>
        <w:numPr>
          <w:ilvl w:val="0"/>
          <w:numId w:val="1"/>
        </w:numPr>
        <w:shd w:val="clear" w:color="auto" w:fill="auto"/>
        <w:tabs>
          <w:tab w:pos="1423" w:val="left"/>
        </w:tabs>
        <w:bidi w:val="0"/>
        <w:spacing w:before="0" w:after="0"/>
        <w:ind w:left="0" w:right="0" w:firstLine="700"/>
        <w:jc w:val="both"/>
      </w:pPr>
      <w:r>
        <w:rPr>
          <w:rStyle w:val="CharStyle10"/>
        </w:rPr>
        <w:t xml:space="preserve">по п.1 «Халат операционный, одноразового использования», при этом установлено требование «Длина (высота) халата: </w:t>
      </w:r>
      <w:r>
        <w:rPr>
          <w:rStyle w:val="CharStyle10"/>
          <w:lang w:val="en-US" w:eastAsia="en-US"/>
        </w:rPr>
        <w:t xml:space="preserve">≥140 </w:t>
      </w:r>
      <w:r>
        <w:rPr>
          <w:rStyle w:val="CharStyle10"/>
        </w:rPr>
        <w:t xml:space="preserve">и </w:t>
      </w:r>
      <w:r>
        <w:rPr>
          <w:rStyle w:val="CharStyle10"/>
          <w:lang w:val="en-US" w:eastAsia="en-US"/>
        </w:rPr>
        <w:t xml:space="preserve">≤145 </w:t>
      </w:r>
      <w:r>
        <w:rPr>
          <w:rStyle w:val="CharStyle10"/>
        </w:rPr>
        <w:t>см»;</w:t>
      </w:r>
    </w:p>
    <w:p>
      <w:pPr>
        <w:pStyle w:val="Style9"/>
        <w:keepNext w:val="0"/>
        <w:keepLines w:val="0"/>
        <w:widowControl w:val="0"/>
        <w:numPr>
          <w:ilvl w:val="0"/>
          <w:numId w:val="1"/>
        </w:numPr>
        <w:shd w:val="clear" w:color="auto" w:fill="auto"/>
        <w:tabs>
          <w:tab w:pos="1423" w:val="left"/>
        </w:tabs>
        <w:bidi w:val="0"/>
        <w:spacing w:before="0" w:after="0"/>
        <w:ind w:left="0" w:right="0" w:firstLine="700"/>
        <w:jc w:val="both"/>
      </w:pPr>
      <w:r>
        <w:rPr>
          <w:rStyle w:val="CharStyle10"/>
        </w:rPr>
        <w:t xml:space="preserve">по п.2 «Халат операционный, одноразового использования», при этом установлено требование «Длина халата: </w:t>
      </w:r>
      <w:r>
        <w:rPr>
          <w:rStyle w:val="CharStyle10"/>
          <w:lang w:val="en-US" w:eastAsia="en-US"/>
        </w:rPr>
        <w:t xml:space="preserve">≥141 </w:t>
      </w:r>
      <w:r>
        <w:rPr>
          <w:rStyle w:val="CharStyle10"/>
        </w:rPr>
        <w:t xml:space="preserve">и </w:t>
      </w:r>
      <w:r>
        <w:rPr>
          <w:rStyle w:val="CharStyle10"/>
          <w:lang w:val="en-US" w:eastAsia="en-US"/>
        </w:rPr>
        <w:t xml:space="preserve">≤151 </w:t>
      </w:r>
      <w:r>
        <w:rPr>
          <w:rStyle w:val="CharStyle10"/>
        </w:rPr>
        <w:t>см»;</w:t>
      </w:r>
    </w:p>
    <w:p>
      <w:pPr>
        <w:pStyle w:val="Style9"/>
        <w:keepNext w:val="0"/>
        <w:keepLines w:val="0"/>
        <w:widowControl w:val="0"/>
        <w:numPr>
          <w:ilvl w:val="0"/>
          <w:numId w:val="1"/>
        </w:numPr>
        <w:shd w:val="clear" w:color="auto" w:fill="auto"/>
        <w:tabs>
          <w:tab w:pos="1423" w:val="left"/>
        </w:tabs>
        <w:bidi w:val="0"/>
        <w:spacing w:before="0" w:after="0"/>
        <w:ind w:left="0" w:right="0" w:firstLine="700"/>
        <w:jc w:val="both"/>
      </w:pPr>
      <w:r>
        <w:rPr>
          <w:rStyle w:val="CharStyle10"/>
        </w:rPr>
        <w:t xml:space="preserve">по п.4 «Халат операционный, одноразового использования», при этом установлено требование «Плотность материала халата на метр квадратный: </w:t>
      </w:r>
      <w:r>
        <w:rPr>
          <w:rStyle w:val="CharStyle10"/>
          <w:lang w:val="en-US" w:eastAsia="en-US"/>
        </w:rPr>
        <w:t xml:space="preserve">≥ 68 </w:t>
      </w:r>
      <w:r>
        <w:rPr>
          <w:rStyle w:val="CharStyle10"/>
        </w:rPr>
        <w:t xml:space="preserve">и </w:t>
      </w:r>
      <w:r>
        <w:rPr>
          <w:rStyle w:val="CharStyle10"/>
          <w:lang w:val="en-US" w:eastAsia="en-US"/>
        </w:rPr>
        <w:t xml:space="preserve">≤ 72 </w:t>
      </w:r>
      <w:r>
        <w:rPr>
          <w:rStyle w:val="CharStyle10"/>
        </w:rPr>
        <w:t>грамм»;</w:t>
      </w:r>
    </w:p>
    <w:p>
      <w:pPr>
        <w:pStyle w:val="Style9"/>
        <w:keepNext w:val="0"/>
        <w:keepLines w:val="0"/>
        <w:widowControl w:val="0"/>
        <w:numPr>
          <w:ilvl w:val="0"/>
          <w:numId w:val="1"/>
        </w:numPr>
        <w:shd w:val="clear" w:color="auto" w:fill="auto"/>
        <w:tabs>
          <w:tab w:pos="1423" w:val="left"/>
        </w:tabs>
        <w:bidi w:val="0"/>
        <w:spacing w:before="0" w:after="0"/>
        <w:ind w:left="0" w:right="0" w:firstLine="700"/>
        <w:jc w:val="both"/>
      </w:pPr>
      <w:r>
        <w:rPr>
          <w:rStyle w:val="CharStyle10"/>
        </w:rPr>
        <w:t xml:space="preserve">по п.7 «Халат операционный, одноразового использования», при этом установлено требование «Длина халата: </w:t>
      </w:r>
      <w:r>
        <w:rPr>
          <w:rStyle w:val="CharStyle10"/>
          <w:lang w:val="en-US" w:eastAsia="en-US"/>
        </w:rPr>
        <w:t xml:space="preserve">≥160 </w:t>
      </w:r>
      <w:r>
        <w:rPr>
          <w:rStyle w:val="CharStyle10"/>
        </w:rPr>
        <w:t xml:space="preserve">и </w:t>
      </w:r>
      <w:r>
        <w:rPr>
          <w:rStyle w:val="CharStyle10"/>
          <w:lang w:val="en-US" w:eastAsia="en-US"/>
        </w:rPr>
        <w:t xml:space="preserve">≤170 </w:t>
      </w:r>
      <w:r>
        <w:rPr>
          <w:rStyle w:val="CharStyle10"/>
        </w:rPr>
        <w:t>см».</w:t>
      </w:r>
    </w:p>
    <w:p>
      <w:pPr>
        <w:pStyle w:val="Style9"/>
        <w:keepNext w:val="0"/>
        <w:keepLines w:val="0"/>
        <w:widowControl w:val="0"/>
        <w:shd w:val="clear" w:color="auto" w:fill="auto"/>
        <w:bidi w:val="0"/>
        <w:spacing w:before="0" w:after="0"/>
        <w:ind w:left="0" w:right="0" w:firstLine="700"/>
        <w:jc w:val="both"/>
      </w:pPr>
      <w:r>
        <w:rPr>
          <w:rStyle w:val="CharStyle10"/>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0"/>
        <w:ind w:left="0" w:right="0" w:firstLine="700"/>
        <w:jc w:val="both"/>
      </w:pPr>
      <w:r>
        <w:rPr>
          <w:rStyle w:val="CharStyle10"/>
        </w:rPr>
        <w:t xml:space="preserve">Согласно ч.1 ст.49 Закона о контрактной системе заявка на участие в закупке должна содержать информацию и документы, предусмотренные пп.«м» </w:t>
      </w:r>
      <w:r>
        <w:rPr>
          <w:rStyle w:val="CharStyle10"/>
          <w:lang w:val="en-US" w:eastAsia="en-US"/>
        </w:rPr>
        <w:t xml:space="preserve">- </w:t>
      </w:r>
      <w:r>
        <w:rPr>
          <w:rStyle w:val="CharStyle10"/>
        </w:rPr>
        <w:t xml:space="preserve">«п» п.1, пп.«а» </w:t>
      </w:r>
      <w:r>
        <w:rPr>
          <w:rStyle w:val="CharStyle10"/>
          <w:lang w:val="en-US" w:eastAsia="en-US"/>
        </w:rPr>
        <w:t xml:space="preserve">- </w:t>
      </w:r>
      <w:r>
        <w:rPr>
          <w:rStyle w:val="CharStyle10"/>
        </w:rPr>
        <w:t>«в»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9"/>
        <w:keepNext w:val="0"/>
        <w:keepLines w:val="0"/>
        <w:widowControl w:val="0"/>
        <w:shd w:val="clear" w:color="auto" w:fill="auto"/>
        <w:bidi w:val="0"/>
        <w:spacing w:before="0" w:after="0"/>
        <w:ind w:left="0" w:right="0" w:firstLine="700"/>
        <w:jc w:val="both"/>
      </w:pPr>
      <w:r>
        <w:rPr>
          <w:rStyle w:val="CharStyle10"/>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9"/>
        <w:keepNext w:val="0"/>
        <w:keepLines w:val="0"/>
        <w:widowControl w:val="0"/>
        <w:numPr>
          <w:ilvl w:val="0"/>
          <w:numId w:val="3"/>
        </w:numPr>
        <w:shd w:val="clear" w:color="auto" w:fill="auto"/>
        <w:tabs>
          <w:tab w:pos="1423" w:val="left"/>
        </w:tabs>
        <w:bidi w:val="0"/>
        <w:spacing w:before="0" w:after="0"/>
        <w:ind w:left="0" w:right="0" w:firstLine="700"/>
        <w:jc w:val="both"/>
      </w:pPr>
      <w:r>
        <w:rPr>
          <w:rStyle w:val="CharStyle10"/>
        </w:rPr>
        <w:t xml:space="preserve">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w:t>
      </w:r>
      <w:r>
        <w:rPr>
          <w:rStyle w:val="CharStyle10"/>
          <w:lang w:val="en-US" w:eastAsia="en-US"/>
        </w:rPr>
        <w:t xml:space="preserve">2 </w:t>
      </w:r>
      <w:r>
        <w:rPr>
          <w:rStyle w:val="CharStyle10"/>
        </w:rPr>
        <w:t xml:space="preserve">ст. </w:t>
      </w:r>
      <w:r>
        <w:rPr>
          <w:rStyle w:val="CharStyle10"/>
          <w:lang w:val="en-US" w:eastAsia="en-US"/>
        </w:rPr>
        <w:t xml:space="preserve">33 </w:t>
      </w:r>
      <w:r>
        <w:rPr>
          <w:rStyle w:val="CharStyle10"/>
        </w:rPr>
        <w:t>Закона о контрактной системе, товарный знак (при наличии у товара товарного знака);</w:t>
      </w:r>
    </w:p>
    <w:p>
      <w:pPr>
        <w:pStyle w:val="Style9"/>
        <w:keepNext w:val="0"/>
        <w:keepLines w:val="0"/>
        <w:widowControl w:val="0"/>
        <w:numPr>
          <w:ilvl w:val="0"/>
          <w:numId w:val="3"/>
        </w:numPr>
        <w:shd w:val="clear" w:color="auto" w:fill="auto"/>
        <w:tabs>
          <w:tab w:pos="1423" w:val="left"/>
        </w:tabs>
        <w:bidi w:val="0"/>
        <w:spacing w:before="0" w:after="0"/>
        <w:ind w:left="0" w:right="0" w:firstLine="700"/>
        <w:jc w:val="both"/>
      </w:pPr>
      <w:r>
        <w:rPr>
          <w:rStyle w:val="CharStyle10"/>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9"/>
        <w:keepNext w:val="0"/>
        <w:keepLines w:val="0"/>
        <w:widowControl w:val="0"/>
        <w:numPr>
          <w:ilvl w:val="0"/>
          <w:numId w:val="3"/>
        </w:numPr>
        <w:shd w:val="clear" w:color="auto" w:fill="auto"/>
        <w:tabs>
          <w:tab w:pos="1423" w:val="left"/>
        </w:tabs>
        <w:bidi w:val="0"/>
        <w:spacing w:before="0" w:after="0" w:line="324" w:lineRule="auto"/>
        <w:ind w:left="0" w:right="0" w:firstLine="700"/>
        <w:jc w:val="both"/>
        <w:rPr>
          <w:sz w:val="24"/>
          <w:szCs w:val="24"/>
        </w:rPr>
      </w:pPr>
      <w:r>
        <w:rPr>
          <w:rStyle w:val="CharStyle10"/>
        </w:rPr>
        <w:t xml:space="preserve">документы, подтверждающие соответствие товара, работы или услуги </w:t>
      </w:r>
      <w:r>
        <w:rPr>
          <w:rStyle w:val="CharStyle10"/>
          <w:sz w:val="24"/>
          <w:szCs w:val="24"/>
          <w:lang w:val="en-US" w:eastAsia="en-US"/>
        </w:rPr>
        <w:t>2026-22936</w:t>
      </w:r>
    </w:p>
    <w:p>
      <w:pPr>
        <w:pStyle w:val="Style9"/>
        <w:keepNext w:val="0"/>
        <w:keepLines w:val="0"/>
        <w:widowControl w:val="0"/>
        <w:shd w:val="clear" w:color="auto" w:fill="auto"/>
        <w:bidi w:val="0"/>
        <w:spacing w:before="0" w:after="0"/>
        <w:ind w:left="0" w:right="0" w:firstLine="0"/>
        <w:jc w:val="both"/>
      </w:pPr>
      <w:r>
        <w:rPr>
          <w:rStyle w:val="CharStyle10"/>
        </w:rPr>
        <w:t>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keepNext w:val="0"/>
        <w:keepLines w:val="0"/>
        <w:widowControl w:val="0"/>
        <w:numPr>
          <w:ilvl w:val="0"/>
          <w:numId w:val="3"/>
        </w:numPr>
        <w:shd w:val="clear" w:color="auto" w:fill="auto"/>
        <w:tabs>
          <w:tab w:pos="1426" w:val="left"/>
        </w:tabs>
        <w:bidi w:val="0"/>
        <w:spacing w:before="0" w:after="0"/>
        <w:ind w:left="0" w:right="0" w:firstLine="700"/>
        <w:jc w:val="both"/>
      </w:pPr>
      <w:r>
        <w:rPr>
          <w:rStyle w:val="CharStyle10"/>
        </w:rPr>
        <w:t xml:space="preserve">с учетом положений ч.2 ст.43 Закона о контрактной системе предложение по критериям, предусмотренным п.2 и (или) </w:t>
      </w:r>
      <w:r>
        <w:rPr>
          <w:rStyle w:val="CharStyle10"/>
          <w:lang w:val="en-US" w:eastAsia="en-US"/>
        </w:rPr>
        <w:t xml:space="preserve">3 </w:t>
      </w:r>
      <w:r>
        <w:rPr>
          <w:rStyle w:val="CharStyle10"/>
        </w:rPr>
        <w:t>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9"/>
        <w:keepNext w:val="0"/>
        <w:keepLines w:val="0"/>
        <w:widowControl w:val="0"/>
        <w:numPr>
          <w:ilvl w:val="0"/>
          <w:numId w:val="3"/>
        </w:numPr>
        <w:shd w:val="clear" w:color="auto" w:fill="auto"/>
        <w:tabs>
          <w:tab w:pos="1426" w:val="left"/>
        </w:tabs>
        <w:bidi w:val="0"/>
        <w:spacing w:before="0" w:after="0"/>
        <w:ind w:left="0" w:right="0" w:firstLine="700"/>
        <w:jc w:val="both"/>
      </w:pPr>
      <w:r>
        <w:rPr>
          <w:rStyle w:val="CharStyle10"/>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9"/>
        <w:keepNext w:val="0"/>
        <w:keepLines w:val="0"/>
        <w:widowControl w:val="0"/>
        <w:shd w:val="clear" w:color="auto" w:fill="auto"/>
        <w:bidi w:val="0"/>
        <w:spacing w:before="0" w:after="0"/>
        <w:ind w:left="0" w:right="0" w:firstLine="700"/>
        <w:jc w:val="both"/>
      </w:pPr>
      <w:r>
        <w:rPr>
          <w:rStyle w:val="CharStyle10"/>
        </w:rPr>
        <w:t xml:space="preserve">Вместе с этим, в силу ч.4 ст.38 Федерального закона «Об основах охраны здоровья граждан в Российской Федерации» от </w:t>
      </w:r>
      <w:r>
        <w:rPr>
          <w:rStyle w:val="CharStyle10"/>
          <w:lang w:val="en-US" w:eastAsia="en-US"/>
        </w:rPr>
        <w:t xml:space="preserve">21.11.2011 </w:t>
      </w:r>
      <w:r>
        <w:rPr>
          <w:rStyle w:val="CharStyle10"/>
        </w:rPr>
        <w:t xml:space="preserve">№323-ФЗ (далее </w:t>
      </w:r>
      <w:r>
        <w:rPr>
          <w:rStyle w:val="CharStyle10"/>
          <w:lang w:val="en-US" w:eastAsia="en-US"/>
        </w:rPr>
        <w:t xml:space="preserve">— </w:t>
      </w:r>
      <w:r>
        <w:rPr>
          <w:rStyle w:val="CharStyle10"/>
        </w:rPr>
        <w:t>Закон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9"/>
        <w:keepNext w:val="0"/>
        <w:keepLines w:val="0"/>
        <w:widowControl w:val="0"/>
        <w:shd w:val="clear" w:color="auto" w:fill="auto"/>
        <w:bidi w:val="0"/>
        <w:spacing w:before="0" w:after="0"/>
        <w:ind w:left="0" w:right="0" w:firstLine="700"/>
        <w:jc w:val="both"/>
      </w:pPr>
      <w:r>
        <w:rPr>
          <w:rStyle w:val="CharStyle10"/>
        </w:rPr>
        <w:t xml:space="preserve">П.1 Постановления Правительства РФ от </w:t>
      </w:r>
      <w:r>
        <w:rPr>
          <w:rStyle w:val="CharStyle10"/>
          <w:lang w:val="en-US" w:eastAsia="en-US"/>
        </w:rPr>
        <w:t xml:space="preserve">30.11.2024 №1684 </w:t>
      </w:r>
      <w:r>
        <w:rPr>
          <w:rStyle w:val="CharStyle10"/>
        </w:rPr>
        <w:t xml:space="preserve">«Об утверждении Правил государственной регистрации медицинских изделий»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№1684) </w:t>
      </w:r>
      <w:r>
        <w:rPr>
          <w:rStyle w:val="CharStyle10"/>
        </w:rPr>
        <w:t xml:space="preserve">утверждены Правила государственной регистрации медицинских изделий (далее </w:t>
      </w:r>
      <w:r>
        <w:rPr>
          <w:rStyle w:val="CharStyle10"/>
          <w:lang w:val="en-US" w:eastAsia="en-US"/>
        </w:rPr>
        <w:t xml:space="preserve">— </w:t>
      </w:r>
      <w:r>
        <w:rPr>
          <w:rStyle w:val="CharStyle10"/>
        </w:rPr>
        <w:t>Правила).</w:t>
      </w:r>
    </w:p>
    <w:p>
      <w:pPr>
        <w:pStyle w:val="Style9"/>
        <w:keepNext w:val="0"/>
        <w:keepLines w:val="0"/>
        <w:widowControl w:val="0"/>
        <w:shd w:val="clear" w:color="auto" w:fill="auto"/>
        <w:bidi w:val="0"/>
        <w:spacing w:before="0" w:after="0"/>
        <w:ind w:left="0" w:right="0" w:firstLine="700"/>
        <w:jc w:val="both"/>
      </w:pPr>
      <w:r>
        <w:rPr>
          <w:rStyle w:val="CharStyle10"/>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9"/>
        <w:keepNext w:val="0"/>
        <w:keepLines w:val="0"/>
        <w:widowControl w:val="0"/>
        <w:shd w:val="clear" w:color="auto" w:fill="auto"/>
        <w:bidi w:val="0"/>
        <w:spacing w:before="0" w:after="0" w:line="324" w:lineRule="auto"/>
        <w:ind w:left="0" w:right="0" w:firstLine="700"/>
        <w:jc w:val="both"/>
        <w:rPr>
          <w:sz w:val="24"/>
          <w:szCs w:val="24"/>
        </w:rPr>
      </w:pPr>
      <w:r>
        <w:rPr>
          <w:rStyle w:val="CharStyle10"/>
        </w:rPr>
        <w:t xml:space="preserve">Согласно п.25 Правил факт государственной регистрации медицинского </w:t>
      </w:r>
      <w:r>
        <w:rPr>
          <w:rStyle w:val="CharStyle10"/>
          <w:sz w:val="24"/>
          <w:szCs w:val="24"/>
          <w:lang w:val="en-US" w:eastAsia="en-US"/>
        </w:rPr>
        <w:t>2026-22936</w:t>
      </w:r>
    </w:p>
    <w:p>
      <w:pPr>
        <w:pStyle w:val="Style9"/>
        <w:keepNext w:val="0"/>
        <w:keepLines w:val="0"/>
        <w:widowControl w:val="0"/>
        <w:shd w:val="clear" w:color="auto" w:fill="auto"/>
        <w:bidi w:val="0"/>
        <w:spacing w:before="0" w:after="0" w:line="254" w:lineRule="auto"/>
        <w:ind w:left="0" w:right="0" w:firstLine="0"/>
        <w:jc w:val="both"/>
      </w:pPr>
      <w:r>
        <w:rPr>
          <w:rStyle w:val="CharStyle10"/>
        </w:rPr>
        <w:t xml:space="preserve">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10"/>
          <w:lang w:val="en-US" w:eastAsia="en-US"/>
        </w:rPr>
        <w:t xml:space="preserve">- </w:t>
      </w:r>
      <w:r>
        <w:rPr>
          <w:rStyle w:val="CharStyle10"/>
        </w:rPr>
        <w:t>реестровая запись).</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Вместе с этим п.2 Постановления </w:t>
      </w:r>
      <w:r>
        <w:rPr>
          <w:rStyle w:val="CharStyle10"/>
          <w:lang w:val="en-US" w:eastAsia="en-US"/>
        </w:rPr>
        <w:t xml:space="preserve">№1684 </w:t>
      </w:r>
      <w:r>
        <w:rPr>
          <w:rStyle w:val="CharStyle10"/>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10"/>
          <w:lang w:val="en-US" w:eastAsia="en-US"/>
        </w:rPr>
        <w:t>№1684.</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10"/>
          <w:lang w:val="en-US" w:eastAsia="en-US"/>
        </w:rPr>
        <w:t xml:space="preserve">№1684, </w:t>
      </w:r>
      <w:r>
        <w:rPr>
          <w:rStyle w:val="CharStyle10"/>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Постановлением Правительства Российской Федерации от </w:t>
      </w:r>
      <w:r>
        <w:rPr>
          <w:rStyle w:val="CharStyle10"/>
          <w:lang w:val="en-US" w:eastAsia="en-US"/>
        </w:rPr>
        <w:t xml:space="preserve">27.12.2012 № 1416 </w:t>
      </w:r>
      <w:r>
        <w:rPr>
          <w:rStyle w:val="CharStyle10"/>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10"/>
          <w:lang w:val="en-US" w:eastAsia="en-US"/>
        </w:rPr>
        <w:t xml:space="preserve">— </w:t>
      </w:r>
      <w:r>
        <w:rPr>
          <w:rStyle w:val="CharStyle10"/>
        </w:rPr>
        <w:t xml:space="preserve">Правила от </w:t>
      </w:r>
      <w:r>
        <w:rPr>
          <w:rStyle w:val="CharStyle10"/>
          <w:lang w:val="en-US" w:eastAsia="en-US"/>
        </w:rPr>
        <w:t xml:space="preserve">27.12.2012), </w:t>
      </w:r>
      <w:r>
        <w:rPr>
          <w:rStyle w:val="CharStyle10"/>
        </w:rPr>
        <w:t xml:space="preserve">действующие до дня вступления в силу Постановления </w:t>
      </w:r>
      <w:r>
        <w:rPr>
          <w:rStyle w:val="CharStyle10"/>
          <w:lang w:val="en-US" w:eastAsia="en-US"/>
        </w:rPr>
        <w:t>№1684.</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П.6 Правил от </w:t>
      </w:r>
      <w:r>
        <w:rPr>
          <w:rStyle w:val="CharStyle10"/>
          <w:lang w:val="en-US" w:eastAsia="en-US"/>
        </w:rPr>
        <w:t xml:space="preserve">27.12.2012 </w:t>
      </w:r>
      <w:r>
        <w:rPr>
          <w:rStyle w:val="CharStyle10"/>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а также регистрационное удостоверение, выданное до дня вступления в силу Постановления </w:t>
      </w:r>
      <w:r>
        <w:rPr>
          <w:rStyle w:val="CharStyle10"/>
          <w:lang w:val="en-US" w:eastAsia="en-US"/>
        </w:rPr>
        <w:t xml:space="preserve">№1684, </w:t>
      </w:r>
      <w:r>
        <w:rPr>
          <w:rStyle w:val="CharStyle10"/>
        </w:rPr>
        <w:t xml:space="preserve">в соответствии с Правилами от </w:t>
      </w:r>
      <w:r>
        <w:rPr>
          <w:rStyle w:val="CharStyle10"/>
          <w:lang w:val="en-US" w:eastAsia="en-US"/>
        </w:rPr>
        <w:t>27.12.2012.</w:t>
      </w:r>
    </w:p>
    <w:p>
      <w:pPr>
        <w:pStyle w:val="Style9"/>
        <w:keepNext w:val="0"/>
        <w:keepLines w:val="0"/>
        <w:widowControl w:val="0"/>
        <w:shd w:val="clear" w:color="auto" w:fill="auto"/>
        <w:bidi w:val="0"/>
        <w:spacing w:before="0" w:after="0" w:line="254" w:lineRule="auto"/>
        <w:ind w:left="0" w:right="0" w:firstLine="700"/>
        <w:jc w:val="both"/>
      </w:pPr>
      <w:r>
        <w:rPr>
          <w:rStyle w:val="CharStyle10"/>
        </w:rPr>
        <w:t>Комиссией Управления установлено, что в составе заявки участника закупки ООО «Компания «Н.В.П» указаны, в том числе, следующие сведения о предлагаемых к поставке изделиях, например:</w:t>
      </w:r>
    </w:p>
    <w:p>
      <w:pPr>
        <w:pStyle w:val="Style9"/>
        <w:keepNext w:val="0"/>
        <w:keepLines w:val="0"/>
        <w:widowControl w:val="0"/>
        <w:numPr>
          <w:ilvl w:val="0"/>
          <w:numId w:val="5"/>
        </w:numPr>
        <w:shd w:val="clear" w:color="auto" w:fill="auto"/>
        <w:tabs>
          <w:tab w:pos="1421" w:val="left"/>
        </w:tabs>
        <w:bidi w:val="0"/>
        <w:spacing w:before="0" w:after="0" w:line="262" w:lineRule="auto"/>
        <w:ind w:left="0" w:right="0" w:firstLine="700"/>
        <w:jc w:val="both"/>
        <w:rPr>
          <w:sz w:val="24"/>
          <w:szCs w:val="24"/>
        </w:rPr>
      </w:pPr>
      <w:r>
        <w:rPr>
          <w:rStyle w:val="CharStyle10"/>
        </w:rPr>
        <w:t xml:space="preserve">по п.1 «Халат операционный, одноразового использования», при этом установлено требование «Длина (высота) халата: </w:t>
      </w:r>
      <w:r>
        <w:rPr>
          <w:rStyle w:val="CharStyle10"/>
          <w:lang w:val="en-US" w:eastAsia="en-US"/>
        </w:rPr>
        <w:t xml:space="preserve">140 </w:t>
      </w:r>
      <w:r>
        <w:rPr>
          <w:rStyle w:val="CharStyle10"/>
        </w:rPr>
        <w:t xml:space="preserve">Сантиметр», «Наименование медицинского изделия в соответствии с регистрационным удостоверением: Комплект одежды хирургической одноразовой стерильной </w:t>
      </w:r>
      <w:r>
        <w:rPr>
          <w:rStyle w:val="CharStyle10"/>
          <w:sz w:val="24"/>
          <w:szCs w:val="24"/>
          <w:lang w:val="en-US" w:eastAsia="en-US"/>
        </w:rPr>
        <w:t>2026-22936</w:t>
      </w:r>
    </w:p>
    <w:p>
      <w:pPr>
        <w:pStyle w:val="Style9"/>
        <w:keepNext w:val="0"/>
        <w:keepLines w:val="0"/>
        <w:widowControl w:val="0"/>
        <w:shd w:val="clear" w:color="auto" w:fill="auto"/>
        <w:bidi w:val="0"/>
        <w:spacing w:before="0" w:after="0"/>
        <w:ind w:left="0" w:right="0" w:firstLine="0"/>
        <w:jc w:val="both"/>
      </w:pPr>
      <w:r>
        <w:rPr>
          <w:rStyle w:val="CharStyle10"/>
        </w:rPr>
        <w:t xml:space="preserve">«Здравмедтех-М» по ТУ </w:t>
      </w:r>
      <w:r>
        <w:rPr>
          <w:rStyle w:val="CharStyle10"/>
          <w:lang w:val="en-US" w:eastAsia="en-US"/>
        </w:rPr>
        <w:t xml:space="preserve">9398-002-38957094-02, </w:t>
      </w:r>
      <w:r>
        <w:rPr>
          <w:rStyle w:val="CharStyle10"/>
        </w:rPr>
        <w:t xml:space="preserve">в составе: Халат хирургический», «Регистрационный номер медицинского изделия: ФСР </w:t>
      </w:r>
      <w:r>
        <w:rPr>
          <w:rStyle w:val="CharStyle10"/>
          <w:lang w:val="en-US" w:eastAsia="en-US"/>
        </w:rPr>
        <w:t>2011/12866»;</w:t>
      </w:r>
    </w:p>
    <w:p>
      <w:pPr>
        <w:pStyle w:val="Style9"/>
        <w:keepNext w:val="0"/>
        <w:keepLines w:val="0"/>
        <w:widowControl w:val="0"/>
        <w:numPr>
          <w:ilvl w:val="0"/>
          <w:numId w:val="5"/>
        </w:numPr>
        <w:shd w:val="clear" w:color="auto" w:fill="auto"/>
        <w:tabs>
          <w:tab w:pos="1421" w:val="left"/>
        </w:tabs>
        <w:bidi w:val="0"/>
        <w:spacing w:before="0" w:after="0"/>
        <w:ind w:left="0" w:right="0" w:firstLine="700"/>
        <w:jc w:val="both"/>
      </w:pPr>
      <w:r>
        <w:rPr>
          <w:rStyle w:val="CharStyle10"/>
        </w:rPr>
        <w:t xml:space="preserve">по п.2 «Халат операционный, одноразового использования», при этом установлено требование «Длина халата: </w:t>
      </w:r>
      <w:r>
        <w:rPr>
          <w:rStyle w:val="CharStyle10"/>
          <w:lang w:val="en-US" w:eastAsia="en-US"/>
        </w:rPr>
        <w:t xml:space="preserve">141 </w:t>
      </w:r>
      <w:r>
        <w:rPr>
          <w:rStyle w:val="CharStyle10"/>
        </w:rPr>
        <w:t xml:space="preserve">Сантиметр», «Наименование медицинского изделия в соответствии с регистрационным удостоверением: Комплект одежды хирургической одноразовой стерильной «Здравмедтех-М» по ТУ </w:t>
      </w:r>
      <w:r>
        <w:rPr>
          <w:rStyle w:val="CharStyle10"/>
          <w:lang w:val="en-US" w:eastAsia="en-US"/>
        </w:rPr>
        <w:t xml:space="preserve">9398-002-38957094-02, </w:t>
      </w:r>
      <w:r>
        <w:rPr>
          <w:rStyle w:val="CharStyle10"/>
        </w:rPr>
        <w:t xml:space="preserve">в составе: Халат хирургический», «Регистрационный номер медицинского изделия: ФСР </w:t>
      </w:r>
      <w:r>
        <w:rPr>
          <w:rStyle w:val="CharStyle10"/>
          <w:lang w:val="en-US" w:eastAsia="en-US"/>
        </w:rPr>
        <w:t>2011/12866»;</w:t>
      </w:r>
    </w:p>
    <w:p>
      <w:pPr>
        <w:pStyle w:val="Style9"/>
        <w:keepNext w:val="0"/>
        <w:keepLines w:val="0"/>
        <w:widowControl w:val="0"/>
        <w:numPr>
          <w:ilvl w:val="0"/>
          <w:numId w:val="5"/>
        </w:numPr>
        <w:shd w:val="clear" w:color="auto" w:fill="auto"/>
        <w:tabs>
          <w:tab w:pos="1421" w:val="left"/>
        </w:tabs>
        <w:bidi w:val="0"/>
        <w:spacing w:before="0" w:after="0"/>
        <w:ind w:left="0" w:right="0" w:firstLine="700"/>
        <w:jc w:val="both"/>
      </w:pPr>
      <w:r>
        <w:rPr>
          <w:rStyle w:val="CharStyle10"/>
        </w:rPr>
        <w:t xml:space="preserve">по п.4 «Халат операционный, одноразового использования», при этом установлено требование «Плотность материала халата на метр квадратный: </w:t>
      </w:r>
      <w:r>
        <w:rPr>
          <w:rStyle w:val="CharStyle10"/>
          <w:lang w:val="en-US" w:eastAsia="en-US"/>
        </w:rPr>
        <w:t xml:space="preserve">68 </w:t>
      </w:r>
      <w:r>
        <w:rPr>
          <w:rStyle w:val="CharStyle10"/>
        </w:rPr>
        <w:t xml:space="preserve">грамм», «Наименование медицинского изделия в соответствии с регистрационным удостоверением: Комплект одежды хирургической одноразовой стерильной «Здравмедтех-М» по ТУ </w:t>
      </w:r>
      <w:r>
        <w:rPr>
          <w:rStyle w:val="CharStyle10"/>
          <w:lang w:val="en-US" w:eastAsia="en-US"/>
        </w:rPr>
        <w:t xml:space="preserve">9398-002-38957094-02, </w:t>
      </w:r>
      <w:r>
        <w:rPr>
          <w:rStyle w:val="CharStyle10"/>
        </w:rPr>
        <w:t xml:space="preserve">в составе: Халат хирургический», «Регистрационный номер медицинского изделия: ФСР </w:t>
      </w:r>
      <w:r>
        <w:rPr>
          <w:rStyle w:val="CharStyle10"/>
          <w:lang w:val="en-US" w:eastAsia="en-US"/>
        </w:rPr>
        <w:t>2011/12866»;</w:t>
      </w:r>
    </w:p>
    <w:p>
      <w:pPr>
        <w:pStyle w:val="Style9"/>
        <w:keepNext w:val="0"/>
        <w:keepLines w:val="0"/>
        <w:widowControl w:val="0"/>
        <w:numPr>
          <w:ilvl w:val="0"/>
          <w:numId w:val="5"/>
        </w:numPr>
        <w:shd w:val="clear" w:color="auto" w:fill="auto"/>
        <w:tabs>
          <w:tab w:pos="1421" w:val="left"/>
        </w:tabs>
        <w:bidi w:val="0"/>
        <w:spacing w:before="0" w:after="0"/>
        <w:ind w:left="0" w:right="0" w:firstLine="700"/>
        <w:jc w:val="both"/>
      </w:pPr>
      <w:r>
        <w:rPr>
          <w:rStyle w:val="CharStyle10"/>
        </w:rPr>
        <w:t xml:space="preserve">по п.7 «Халат операционный, одноразового использования», при этом установлено требование «Длина халата: </w:t>
      </w:r>
      <w:r>
        <w:rPr>
          <w:rStyle w:val="CharStyle10"/>
          <w:lang w:val="en-US" w:eastAsia="en-US"/>
        </w:rPr>
        <w:t xml:space="preserve">160 </w:t>
      </w:r>
      <w:r>
        <w:rPr>
          <w:rStyle w:val="CharStyle10"/>
        </w:rPr>
        <w:t xml:space="preserve">Сантиметр», «Наименование медицинского изделия в соответствии с регистрационным удостоверением: Комплект одежды хирургической одноразовой стерильной «Здравмедтех-М» по ТУ </w:t>
      </w:r>
      <w:r>
        <w:rPr>
          <w:rStyle w:val="CharStyle10"/>
          <w:lang w:val="en-US" w:eastAsia="en-US"/>
        </w:rPr>
        <w:t xml:space="preserve">9398-002-38957094-02, </w:t>
      </w:r>
      <w:r>
        <w:rPr>
          <w:rStyle w:val="CharStyle10"/>
        </w:rPr>
        <w:t xml:space="preserve">в составе: Халат хирургический», «Регистрационный номер медицинского изделия: ФСР </w:t>
      </w:r>
      <w:r>
        <w:rPr>
          <w:rStyle w:val="CharStyle10"/>
          <w:lang w:val="en-US" w:eastAsia="en-US"/>
        </w:rPr>
        <w:t>2011/12866».</w:t>
      </w:r>
    </w:p>
    <w:p>
      <w:pPr>
        <w:pStyle w:val="Style9"/>
        <w:keepNext w:val="0"/>
        <w:keepLines w:val="0"/>
        <w:widowControl w:val="0"/>
        <w:shd w:val="clear" w:color="auto" w:fill="auto"/>
        <w:bidi w:val="0"/>
        <w:spacing w:before="0" w:after="0"/>
        <w:ind w:left="0" w:right="0" w:firstLine="700"/>
        <w:jc w:val="both"/>
      </w:pPr>
      <w:r>
        <w:rPr>
          <w:rStyle w:val="CharStyle10"/>
        </w:rPr>
        <w:t xml:space="preserve">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w:t>
      </w:r>
      <w:r>
        <w:rPr>
          <w:rStyle w:val="CharStyle10"/>
          <w:lang w:val="en-US" w:eastAsia="en-US"/>
        </w:rPr>
        <w:t xml:space="preserve">8 </w:t>
      </w:r>
      <w:r>
        <w:rPr>
          <w:rStyle w:val="CharStyle10"/>
        </w:rPr>
        <w:t>ч.12 ст.48 Закона о контрактной системе.</w:t>
      </w:r>
    </w:p>
    <w:p>
      <w:pPr>
        <w:pStyle w:val="Style9"/>
        <w:keepNext w:val="0"/>
        <w:keepLines w:val="0"/>
        <w:widowControl w:val="0"/>
        <w:shd w:val="clear" w:color="auto" w:fill="auto"/>
        <w:bidi w:val="0"/>
        <w:spacing w:before="0" w:after="0"/>
        <w:ind w:left="0" w:right="0" w:firstLine="700"/>
        <w:jc w:val="both"/>
      </w:pPr>
      <w:r>
        <w:rPr>
          <w:rStyle w:val="CharStyle10"/>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7"/>
        </w:numPr>
        <w:shd w:val="clear" w:color="auto" w:fill="auto"/>
        <w:tabs>
          <w:tab w:pos="1421" w:val="left"/>
        </w:tabs>
        <w:bidi w:val="0"/>
        <w:spacing w:before="0" w:after="0"/>
        <w:ind w:left="0" w:right="0" w:firstLine="700"/>
        <w:jc w:val="both"/>
      </w:pPr>
      <w:r>
        <w:rPr>
          <w:rStyle w:val="CharStyle10"/>
        </w:rPr>
        <w:t xml:space="preserve">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w:t>
      </w:r>
      <w:r>
        <w:rPr>
          <w:rStyle w:val="CharStyle10"/>
          <w:lang w:val="en-US" w:eastAsia="en-US"/>
        </w:rPr>
        <w:t xml:space="preserve">3 </w:t>
      </w:r>
      <w:r>
        <w:rPr>
          <w:rStyle w:val="CharStyle10"/>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7"/>
        </w:numPr>
        <w:shd w:val="clear" w:color="auto" w:fill="auto"/>
        <w:tabs>
          <w:tab w:pos="1421" w:val="left"/>
        </w:tabs>
        <w:bidi w:val="0"/>
        <w:spacing w:before="0" w:after="0" w:line="324" w:lineRule="auto"/>
        <w:ind w:left="0" w:right="0" w:firstLine="700"/>
        <w:jc w:val="both"/>
        <w:rPr>
          <w:sz w:val="24"/>
          <w:szCs w:val="24"/>
        </w:rPr>
      </w:pPr>
      <w:r>
        <w:rPr>
          <w:rStyle w:val="CharStyle10"/>
        </w:rPr>
        <w:t xml:space="preserve">непредставления информации и документов, предусмотренных п.2 и </w:t>
      </w:r>
      <w:r>
        <w:rPr>
          <w:rStyle w:val="CharStyle10"/>
          <w:lang w:val="en-US" w:eastAsia="en-US"/>
        </w:rPr>
        <w:t xml:space="preserve">3 </w:t>
      </w:r>
      <w:r>
        <w:rPr>
          <w:rStyle w:val="CharStyle10"/>
          <w:sz w:val="24"/>
          <w:szCs w:val="24"/>
          <w:lang w:val="en-US" w:eastAsia="en-US"/>
        </w:rPr>
        <w:t>2026-22936</w:t>
      </w:r>
    </w:p>
    <w:p>
      <w:pPr>
        <w:pStyle w:val="Style9"/>
        <w:keepNext w:val="0"/>
        <w:keepLines w:val="0"/>
        <w:widowControl w:val="0"/>
        <w:shd w:val="clear" w:color="auto" w:fill="auto"/>
        <w:bidi w:val="0"/>
        <w:spacing w:before="0" w:after="0"/>
        <w:ind w:left="0" w:right="0" w:firstLine="0"/>
        <w:jc w:val="both"/>
      </w:pPr>
      <w:r>
        <w:rPr>
          <w:rStyle w:val="CharStyle10"/>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7"/>
        </w:numPr>
        <w:shd w:val="clear" w:color="auto" w:fill="auto"/>
        <w:tabs>
          <w:tab w:pos="1421" w:val="left"/>
        </w:tabs>
        <w:bidi w:val="0"/>
        <w:spacing w:before="0" w:after="0"/>
        <w:ind w:left="0" w:right="0" w:firstLine="700"/>
        <w:jc w:val="both"/>
      </w:pPr>
      <w:r>
        <w:rPr>
          <w:rStyle w:val="CharStyle10"/>
        </w:rPr>
        <w:t xml:space="preserve">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w:t>
      </w:r>
      <w:r>
        <w:rPr>
          <w:rStyle w:val="CharStyle10"/>
          <w:lang w:val="en-US" w:eastAsia="en-US"/>
        </w:rPr>
        <w:t xml:space="preserve">2 </w:t>
      </w:r>
      <w:r>
        <w:rPr>
          <w:rStyle w:val="CharStyle10"/>
        </w:rPr>
        <w:t xml:space="preserve">и </w:t>
      </w:r>
      <w:r>
        <w:rPr>
          <w:rStyle w:val="CharStyle10"/>
          <w:lang w:val="en-US" w:eastAsia="en-US"/>
        </w:rPr>
        <w:t xml:space="preserve">2.1 </w:t>
      </w:r>
      <w:r>
        <w:rPr>
          <w:rStyle w:val="CharStyle10"/>
        </w:rPr>
        <w:t>(при наличии таких требований) ст.31 Закона о контрактной системе;</w:t>
      </w:r>
    </w:p>
    <w:p>
      <w:pPr>
        <w:pStyle w:val="Style9"/>
        <w:keepNext w:val="0"/>
        <w:keepLines w:val="0"/>
        <w:widowControl w:val="0"/>
        <w:numPr>
          <w:ilvl w:val="0"/>
          <w:numId w:val="7"/>
        </w:numPr>
        <w:shd w:val="clear" w:color="auto" w:fill="auto"/>
        <w:tabs>
          <w:tab w:pos="1421" w:val="left"/>
        </w:tabs>
        <w:bidi w:val="0"/>
        <w:spacing w:before="0" w:after="0"/>
        <w:ind w:left="0" w:right="0" w:firstLine="700"/>
        <w:jc w:val="both"/>
      </w:pPr>
      <w:r>
        <w:rPr>
          <w:rStyle w:val="CharStyle10"/>
        </w:rPr>
        <w:t>предусмотренных пп.«а» п.1 (за исключением случая, предусмотренного п.5 ч.12 ст.48 Закона о контрактной системе), пп.«а» п.2 ч.4, пп.«а» п.1 (за исключением случая, предусмотренного п.5 ч.12 ст.48 Закона о контрактной системе), п.2 ч.5 ст.14 Закона о контрактной системе;</w:t>
      </w:r>
    </w:p>
    <w:p>
      <w:pPr>
        <w:pStyle w:val="Style9"/>
        <w:keepNext w:val="0"/>
        <w:keepLines w:val="0"/>
        <w:widowControl w:val="0"/>
        <w:numPr>
          <w:ilvl w:val="0"/>
          <w:numId w:val="7"/>
        </w:numPr>
        <w:shd w:val="clear" w:color="auto" w:fill="auto"/>
        <w:tabs>
          <w:tab w:pos="1421" w:val="left"/>
        </w:tabs>
        <w:bidi w:val="0"/>
        <w:spacing w:before="0" w:after="0"/>
        <w:ind w:left="0" w:right="0" w:firstLine="700"/>
        <w:jc w:val="both"/>
      </w:pPr>
      <w:r>
        <w:rPr>
          <w:rStyle w:val="CharStyle10"/>
        </w:rPr>
        <w:t>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9"/>
        <w:keepNext w:val="0"/>
        <w:keepLines w:val="0"/>
        <w:widowControl w:val="0"/>
        <w:numPr>
          <w:ilvl w:val="0"/>
          <w:numId w:val="7"/>
        </w:numPr>
        <w:shd w:val="clear" w:color="auto" w:fill="auto"/>
        <w:tabs>
          <w:tab w:pos="1421" w:val="left"/>
        </w:tabs>
        <w:bidi w:val="0"/>
        <w:spacing w:before="0" w:after="0"/>
        <w:ind w:left="0" w:right="0" w:firstLine="700"/>
        <w:jc w:val="both"/>
      </w:pPr>
      <w:r>
        <w:rPr>
          <w:rStyle w:val="CharStyle10"/>
        </w:rPr>
        <w:t xml:space="preserve">выявления отнесения участника закупки к организациям, предусмотренным п.4 ст.2 Федерального закона от </w:t>
      </w:r>
      <w:r>
        <w:rPr>
          <w:rStyle w:val="CharStyle10"/>
          <w:lang w:val="en-US" w:eastAsia="en-US"/>
        </w:rPr>
        <w:t xml:space="preserve">4 </w:t>
      </w:r>
      <w:r>
        <w:rPr>
          <w:rStyle w:val="CharStyle10"/>
        </w:rPr>
        <w:t xml:space="preserve">июня </w:t>
      </w:r>
      <w:r>
        <w:rPr>
          <w:rStyle w:val="CharStyle10"/>
          <w:lang w:val="en-US" w:eastAsia="en-US"/>
        </w:rPr>
        <w:t xml:space="preserve">2018 </w:t>
      </w:r>
      <w:r>
        <w:rPr>
          <w:rStyle w:val="CharStyle10"/>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7"/>
        </w:numPr>
        <w:shd w:val="clear" w:color="auto" w:fill="auto"/>
        <w:tabs>
          <w:tab w:pos="2121" w:val="left"/>
        </w:tabs>
        <w:bidi w:val="0"/>
        <w:spacing w:before="0" w:after="0"/>
        <w:ind w:left="0" w:right="0" w:firstLine="700"/>
        <w:jc w:val="both"/>
      </w:pPr>
      <w:r>
        <w:rPr>
          <w:rStyle w:val="CharStyle10"/>
        </w:rPr>
        <w:t>предусмотренных ч.6 ст.45 Закона о контрактной системе;</w:t>
      </w:r>
    </w:p>
    <w:p>
      <w:pPr>
        <w:pStyle w:val="Style9"/>
        <w:keepNext w:val="0"/>
        <w:keepLines w:val="0"/>
        <w:widowControl w:val="0"/>
        <w:numPr>
          <w:ilvl w:val="0"/>
          <w:numId w:val="7"/>
        </w:numPr>
        <w:shd w:val="clear" w:color="auto" w:fill="auto"/>
        <w:tabs>
          <w:tab w:pos="1421" w:val="left"/>
        </w:tabs>
        <w:bidi w:val="0"/>
        <w:spacing w:before="0" w:after="0"/>
        <w:ind w:left="0" w:right="0" w:firstLine="700"/>
        <w:jc w:val="both"/>
      </w:pPr>
      <w:r>
        <w:rPr>
          <w:rStyle w:val="CharStyle10"/>
        </w:rPr>
        <w:t>выявления недостоверной информации, содержащейся в заявке на участие в закупке;</w:t>
      </w:r>
    </w:p>
    <w:p>
      <w:pPr>
        <w:pStyle w:val="Style9"/>
        <w:keepNext w:val="0"/>
        <w:keepLines w:val="0"/>
        <w:widowControl w:val="0"/>
        <w:numPr>
          <w:ilvl w:val="0"/>
          <w:numId w:val="7"/>
        </w:numPr>
        <w:shd w:val="clear" w:color="auto" w:fill="auto"/>
        <w:tabs>
          <w:tab w:pos="1421" w:val="left"/>
        </w:tabs>
        <w:bidi w:val="0"/>
        <w:spacing w:before="0" w:after="0"/>
        <w:ind w:left="0" w:right="0" w:firstLine="700"/>
        <w:jc w:val="both"/>
      </w:pPr>
      <w:r>
        <w:rPr>
          <w:rStyle w:val="CharStyle10"/>
        </w:rPr>
        <w:t>указания информации о предложении участника закупки, предусмотренном п.3 или п.4 ч.1 ст.43 Закона о контрактной системе.</w:t>
      </w:r>
    </w:p>
    <w:p>
      <w:pPr>
        <w:pStyle w:val="Style9"/>
        <w:keepNext w:val="0"/>
        <w:keepLines w:val="0"/>
        <w:widowControl w:val="0"/>
        <w:shd w:val="clear" w:color="auto" w:fill="auto"/>
        <w:bidi w:val="0"/>
        <w:spacing w:before="0" w:after="0"/>
        <w:ind w:left="0" w:right="0" w:firstLine="700"/>
        <w:jc w:val="both"/>
      </w:pPr>
      <w:r>
        <w:rPr>
          <w:rStyle w:val="CharStyle1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ind w:left="0" w:right="0" w:firstLine="700"/>
        <w:jc w:val="both"/>
      </w:pPr>
      <w:r>
        <w:rPr>
          <w:rStyle w:val="CharStyle10"/>
        </w:rPr>
        <w:t>На заседании Комиссии Управления представитель Заявителя пояснил, что в составе заявки участника закупки ООО «Компания «Н.В.П» представлены достоверные сведения о спорных характеристиках предлагаемых к поставке изделий.</w:t>
      </w:r>
    </w:p>
    <w:p>
      <w:pPr>
        <w:pStyle w:val="Style9"/>
        <w:keepNext w:val="0"/>
        <w:keepLines w:val="0"/>
        <w:widowControl w:val="0"/>
        <w:shd w:val="clear" w:color="auto" w:fill="auto"/>
        <w:bidi w:val="0"/>
        <w:spacing w:before="0" w:after="0" w:line="257" w:lineRule="auto"/>
        <w:ind w:left="0" w:right="0" w:firstLine="700"/>
        <w:jc w:val="both"/>
        <w:rPr>
          <w:sz w:val="24"/>
          <w:szCs w:val="24"/>
        </w:rPr>
      </w:pPr>
      <w:r>
        <w:rPr>
          <w:rStyle w:val="CharStyle10"/>
        </w:rPr>
        <w:t xml:space="preserve">В обоснование своей позиции представитель Заявителя представил информационное письмо производителя предлагаемых к поставке изделий АО «Завод медицинских технологий» </w:t>
      </w:r>
      <w:r>
        <w:rPr>
          <w:rStyle w:val="CharStyle10"/>
          <w:lang w:val="en-US" w:eastAsia="en-US"/>
        </w:rPr>
        <w:t xml:space="preserve">№451 </w:t>
      </w:r>
      <w:r>
        <w:rPr>
          <w:rStyle w:val="CharStyle10"/>
        </w:rPr>
        <w:t xml:space="preserve">от </w:t>
      </w:r>
      <w:r>
        <w:rPr>
          <w:rStyle w:val="CharStyle10"/>
          <w:lang w:val="en-US" w:eastAsia="en-US"/>
        </w:rPr>
        <w:t xml:space="preserve">29.04.2026 </w:t>
      </w:r>
      <w:r>
        <w:rPr>
          <w:rStyle w:val="CharStyle10"/>
        </w:rPr>
        <w:t xml:space="preserve">в составе которого представлена выдержка из технических условий производителя ТУ </w:t>
      </w:r>
      <w:r>
        <w:rPr>
          <w:rStyle w:val="CharStyle10"/>
          <w:lang w:val="en-US" w:eastAsia="en-US"/>
        </w:rPr>
        <w:t>9398-002</w:t>
        <w:softHyphen/>
        <w:t xml:space="preserve">38957094-02 </w:t>
      </w:r>
      <w:r>
        <w:rPr>
          <w:rStyle w:val="CharStyle10"/>
        </w:rPr>
        <w:t xml:space="preserve">в составе которой указаны сведений о возможности производства изделий с диапазоном значений, в который входят значения характеристик, представленные ООО «Компания «Н.В.П» в составе заявки на участие в закупке </w:t>
      </w:r>
      <w:r>
        <w:rPr>
          <w:rStyle w:val="CharStyle10"/>
          <w:sz w:val="24"/>
          <w:szCs w:val="24"/>
          <w:lang w:val="en-US" w:eastAsia="en-US"/>
        </w:rPr>
        <w:t>2026-22936</w:t>
      </w:r>
    </w:p>
    <w:p>
      <w:pPr>
        <w:pStyle w:val="Style9"/>
        <w:keepNext w:val="0"/>
        <w:keepLines w:val="0"/>
        <w:widowControl w:val="0"/>
        <w:shd w:val="clear" w:color="auto" w:fill="auto"/>
        <w:bidi w:val="0"/>
        <w:spacing w:before="0" w:after="40"/>
        <w:ind w:left="0" w:right="0" w:firstLine="0"/>
        <w:jc w:val="both"/>
      </w:pPr>
      <w:r>
        <w:rPr>
          <w:rStyle w:val="CharStyle10"/>
        </w:rPr>
        <w:t>по спорным характеристикам и товарным позициям.</w:t>
      </w:r>
    </w:p>
    <w:p>
      <w:pPr>
        <w:pStyle w:val="Style9"/>
        <w:keepNext w:val="0"/>
        <w:keepLines w:val="0"/>
        <w:widowControl w:val="0"/>
        <w:shd w:val="clear" w:color="auto" w:fill="auto"/>
        <w:bidi w:val="0"/>
        <w:spacing w:before="0" w:after="0"/>
        <w:ind w:left="0" w:right="0" w:firstLine="700"/>
        <w:jc w:val="both"/>
      </w:pPr>
      <w:r>
        <w:rPr>
          <w:rStyle w:val="CharStyle1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ind w:left="0" w:right="0" w:firstLine="700"/>
        <w:jc w:val="both"/>
      </w:pPr>
      <w:r>
        <w:rPr>
          <w:rStyle w:val="CharStyle10"/>
        </w:rPr>
        <w:t>На заседании Комиссии Управления представитель Заказчика пояснил, что заявка участника закупки ООО «Компания «Н.В.П» отклонена комиссией по осуществлению закупок Заказчика на основании предоставления в составе заявки участника закупки недостоверных сведений о предлагаемых к поставке изделиях.</w:t>
      </w:r>
    </w:p>
    <w:p>
      <w:pPr>
        <w:pStyle w:val="Style9"/>
        <w:keepNext w:val="0"/>
        <w:keepLines w:val="0"/>
        <w:widowControl w:val="0"/>
        <w:shd w:val="clear" w:color="auto" w:fill="auto"/>
        <w:bidi w:val="0"/>
        <w:spacing w:before="0" w:after="0"/>
        <w:ind w:left="0" w:right="0" w:firstLine="700"/>
        <w:jc w:val="both"/>
      </w:pPr>
      <w:r>
        <w:rPr>
          <w:rStyle w:val="CharStyle10"/>
        </w:rPr>
        <w:t xml:space="preserve">В частности представитель Заказчика указал, что в рамках письма Федеральной службы по надзору в сфере здравоохранения от </w:t>
      </w:r>
      <w:r>
        <w:rPr>
          <w:rStyle w:val="CharStyle10"/>
          <w:lang w:val="en-US" w:eastAsia="en-US"/>
        </w:rPr>
        <w:t xml:space="preserve">09.11.2018 </w:t>
      </w:r>
      <w:r>
        <w:rPr>
          <w:rStyle w:val="CharStyle10"/>
        </w:rPr>
        <w:t xml:space="preserve">года </w:t>
      </w:r>
      <w:r>
        <w:rPr>
          <w:rStyle w:val="CharStyle10"/>
          <w:lang w:val="en-US" w:eastAsia="en-US"/>
        </w:rPr>
        <w:t xml:space="preserve">№ </w:t>
      </w:r>
      <w:r>
        <w:rPr>
          <w:rStyle w:val="CharStyle10"/>
        </w:rPr>
        <w:t xml:space="preserve">02И-2655/18 «О незарегистрированном медицинском изделии» установлено, что длина изделий, произведенных по ТУ </w:t>
      </w:r>
      <w:r>
        <w:rPr>
          <w:rStyle w:val="CharStyle10"/>
          <w:lang w:val="en-US" w:eastAsia="en-US"/>
        </w:rPr>
        <w:t xml:space="preserve">9398-002-38957094-02 </w:t>
      </w:r>
      <w:r>
        <w:rPr>
          <w:rStyle w:val="CharStyle10"/>
        </w:rPr>
        <w:t xml:space="preserve">(Регистрационный номер медицинского изделия: ФСР </w:t>
      </w:r>
      <w:r>
        <w:rPr>
          <w:rStyle w:val="CharStyle10"/>
          <w:lang w:val="en-US" w:eastAsia="en-US"/>
        </w:rPr>
        <w:t xml:space="preserve">2011/12866) </w:t>
      </w:r>
      <w:r>
        <w:rPr>
          <w:rStyle w:val="CharStyle10"/>
        </w:rPr>
        <w:t xml:space="preserve">составляет </w:t>
      </w:r>
      <w:r>
        <w:rPr>
          <w:rStyle w:val="CharStyle10"/>
          <w:lang w:val="en-US" w:eastAsia="en-US"/>
        </w:rPr>
        <w:t xml:space="preserve">1200 </w:t>
      </w:r>
      <w:r>
        <w:rPr>
          <w:rStyle w:val="CharStyle10"/>
        </w:rPr>
        <w:t xml:space="preserve">мм, а плотность составляет </w:t>
      </w:r>
      <w:r>
        <w:rPr>
          <w:rStyle w:val="CharStyle10"/>
          <w:lang w:val="en-US" w:eastAsia="en-US"/>
        </w:rPr>
        <w:t xml:space="preserve">25-60 </w:t>
      </w:r>
      <w:r>
        <w:rPr>
          <w:rStyle w:val="CharStyle10"/>
        </w:rPr>
        <w:t>г/м2, что не соответствует сведениям о характеристиках изделий, указанным в составе заявки Заявителя.</w:t>
      </w:r>
    </w:p>
    <w:p>
      <w:pPr>
        <w:pStyle w:val="Style9"/>
        <w:keepNext w:val="0"/>
        <w:keepLines w:val="0"/>
        <w:widowControl w:val="0"/>
        <w:shd w:val="clear" w:color="auto" w:fill="auto"/>
        <w:bidi w:val="0"/>
        <w:spacing w:before="0" w:after="0"/>
        <w:ind w:left="0" w:right="0" w:firstLine="700"/>
        <w:jc w:val="both"/>
      </w:pPr>
      <w:r>
        <w:rPr>
          <w:rStyle w:val="CharStyle10"/>
        </w:rPr>
        <w:t xml:space="preserve">Также представитель Заказчика указал, что сведениях о характеристиках в информационном письме АО «Завод медицинских технологий» </w:t>
      </w:r>
      <w:r>
        <w:rPr>
          <w:rStyle w:val="CharStyle10"/>
          <w:lang w:val="en-US" w:eastAsia="en-US"/>
        </w:rPr>
        <w:t xml:space="preserve">№451 </w:t>
      </w:r>
      <w:r>
        <w:rPr>
          <w:rStyle w:val="CharStyle10"/>
        </w:rPr>
        <w:t xml:space="preserve">от </w:t>
      </w:r>
      <w:r>
        <w:rPr>
          <w:rStyle w:val="CharStyle10"/>
          <w:lang w:val="en-US" w:eastAsia="en-US"/>
        </w:rPr>
        <w:t xml:space="preserve">29.04.2026 </w:t>
      </w:r>
      <w:r>
        <w:rPr>
          <w:rStyle w:val="CharStyle10"/>
        </w:rPr>
        <w:t>представлены в не читаемом виде и не зарегистрированы в рамках регистрационного досье на предлагаемые к поставке изделия.</w:t>
      </w:r>
    </w:p>
    <w:p>
      <w:pPr>
        <w:pStyle w:val="Style9"/>
        <w:keepNext w:val="0"/>
        <w:keepLines w:val="0"/>
        <w:widowControl w:val="0"/>
        <w:shd w:val="clear" w:color="auto" w:fill="auto"/>
        <w:bidi w:val="0"/>
        <w:spacing w:before="0" w:after="0"/>
        <w:ind w:left="0" w:right="0" w:firstLine="700"/>
        <w:jc w:val="both"/>
      </w:pPr>
      <w:r>
        <w:rPr>
          <w:rStyle w:val="CharStyle10"/>
        </w:rPr>
        <w:t xml:space="preserve">Вместе с этим Комиссия Управления отмечает, что в письме Федеральной службы по надзору в сфере здравоохранения от </w:t>
      </w:r>
      <w:r>
        <w:rPr>
          <w:rStyle w:val="CharStyle10"/>
          <w:lang w:val="en-US" w:eastAsia="en-US"/>
        </w:rPr>
        <w:t xml:space="preserve">09.11.2018 </w:t>
      </w:r>
      <w:r>
        <w:rPr>
          <w:rStyle w:val="CharStyle10"/>
        </w:rPr>
        <w:t xml:space="preserve">года </w:t>
      </w:r>
      <w:r>
        <w:rPr>
          <w:rStyle w:val="CharStyle10"/>
          <w:lang w:val="en-US" w:eastAsia="en-US"/>
        </w:rPr>
        <w:t xml:space="preserve">№ </w:t>
      </w:r>
      <w:r>
        <w:rPr>
          <w:rStyle w:val="CharStyle10"/>
        </w:rPr>
        <w:t xml:space="preserve">02И-2655/18 «О незарегистрированном медицинском изделии» определены обстоятельства конкретного дела, при этом материалы данного дела, позволяющие определить содержание ТУ </w:t>
      </w:r>
      <w:r>
        <w:rPr>
          <w:rStyle w:val="CharStyle10"/>
          <w:lang w:val="en-US" w:eastAsia="en-US"/>
        </w:rPr>
        <w:t xml:space="preserve">9398-002-38957094-02 </w:t>
      </w:r>
      <w:r>
        <w:rPr>
          <w:rStyle w:val="CharStyle10"/>
        </w:rPr>
        <w:t>в полном объеме, в том числе, в отношении предложенных к поставке изделий с указанными характеристиками, в рамках такого письма не представлены.</w:t>
      </w:r>
    </w:p>
    <w:p>
      <w:pPr>
        <w:pStyle w:val="Style9"/>
        <w:keepNext w:val="0"/>
        <w:keepLines w:val="0"/>
        <w:widowControl w:val="0"/>
        <w:shd w:val="clear" w:color="auto" w:fill="auto"/>
        <w:bidi w:val="0"/>
        <w:spacing w:before="0" w:after="0"/>
        <w:ind w:left="0" w:right="0" w:firstLine="700"/>
        <w:jc w:val="both"/>
      </w:pPr>
      <w:r>
        <w:rPr>
          <w:rStyle w:val="CharStyle10"/>
        </w:rPr>
        <w:t>Таким образом, Комиссия Управления приходит к выводу, что факт выявления конкретного случая обращения незарегистрированного медицинского изделия, в отсутствие материалов дела, позволяющих однозначно определить и оценить содержание технической документации на медицинское изделие, не может однозначным образом свидетельствовать о представлении участником закупки недостоверных сведений.</w:t>
      </w:r>
    </w:p>
    <w:p>
      <w:pPr>
        <w:pStyle w:val="Style9"/>
        <w:keepNext w:val="0"/>
        <w:keepLines w:val="0"/>
        <w:widowControl w:val="0"/>
        <w:shd w:val="clear" w:color="auto" w:fill="auto"/>
        <w:bidi w:val="0"/>
        <w:spacing w:before="0" w:after="0"/>
        <w:ind w:left="0" w:right="0" w:firstLine="700"/>
        <w:jc w:val="both"/>
      </w:pPr>
      <w:r>
        <w:rPr>
          <w:rStyle w:val="CharStyle10"/>
        </w:rPr>
        <w:t xml:space="preserve">Комиссия Управления отмечает, что под недостоверными сведениями следует понимать сведения, не соответствующие действительности. В свою очередь, исходя из правовой позиции Верховного Суда Российской Федерации, изложенной в постановлении от </w:t>
      </w:r>
      <w:r>
        <w:rPr>
          <w:rStyle w:val="CharStyle10"/>
          <w:lang w:val="en-US" w:eastAsia="en-US"/>
        </w:rPr>
        <w:t xml:space="preserve">24.02.2005 № 3 </w:t>
      </w:r>
      <w:r>
        <w:rPr>
          <w:rStyle w:val="CharStyle10"/>
        </w:rPr>
        <w:t xml:space="preserve">«О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w:t>
      </w:r>
      <w:r>
        <w:rPr>
          <w:rStyle w:val="CharStyle10"/>
          <w:lang w:val="en-US" w:eastAsia="en-US"/>
        </w:rPr>
        <w:t>7).</w:t>
      </w:r>
    </w:p>
    <w:p>
      <w:pPr>
        <w:pStyle w:val="Style9"/>
        <w:keepNext w:val="0"/>
        <w:keepLines w:val="0"/>
        <w:widowControl w:val="0"/>
        <w:shd w:val="clear" w:color="auto" w:fill="auto"/>
        <w:bidi w:val="0"/>
        <w:spacing w:before="0" w:after="0" w:line="290"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39" w:bottom="620" w:left="1099" w:header="0" w:footer="192" w:gutter="0"/>
          <w:cols w:space="720"/>
          <w:noEndnote/>
          <w:rtlGutter w:val="0"/>
          <w:docGrid w:linePitch="360"/>
        </w:sectPr>
      </w:pPr>
      <w:r>
        <w:rPr>
          <w:rStyle w:val="CharStyle10"/>
        </w:rPr>
        <w:t xml:space="preserve">Кроме того, предоставленное комиссии по осуществлению закупок право отклонить поданную заявку в случае обнаружения в ней недостоверных сведений </w:t>
      </w:r>
      <w:r>
        <w:rPr>
          <w:rStyle w:val="CharStyle10"/>
          <w:sz w:val="24"/>
          <w:szCs w:val="24"/>
          <w:lang w:val="en-US" w:eastAsia="en-US"/>
        </w:rPr>
        <w:t>2026-22936</w:t>
      </w:r>
    </w:p>
    <w:p>
      <w:pPr>
        <w:pStyle w:val="Style9"/>
        <w:keepNext w:val="0"/>
        <w:keepLines w:val="0"/>
        <w:widowControl w:val="0"/>
        <w:shd w:val="clear" w:color="auto" w:fill="auto"/>
        <w:bidi w:val="0"/>
        <w:spacing w:before="0" w:after="0"/>
        <w:ind w:left="0" w:right="0" w:firstLine="0"/>
        <w:jc w:val="both"/>
      </w:pPr>
      <w:r>
        <w:rPr>
          <w:rStyle w:val="CharStyle10"/>
        </w:rPr>
        <w:t>свидетельствует о том, что располагать такой информацией комиссия по осуществлению закупок Заказчика должна непосредственно на момент принятия соответствующего решения, причем располагать именно доказательствами такой недостоверности, но не руководствоваться предположениями.</w:t>
      </w:r>
    </w:p>
    <w:p>
      <w:pPr>
        <w:pStyle w:val="Style9"/>
        <w:keepNext w:val="0"/>
        <w:keepLines w:val="0"/>
        <w:widowControl w:val="0"/>
        <w:shd w:val="clear" w:color="auto" w:fill="auto"/>
        <w:bidi w:val="0"/>
        <w:spacing w:before="0" w:after="0"/>
        <w:ind w:left="0" w:right="0" w:firstLine="700"/>
        <w:jc w:val="both"/>
      </w:pPr>
      <w:r>
        <w:rPr>
          <w:rStyle w:val="CharStyle10"/>
        </w:rPr>
        <w:t xml:space="preserve">Вместе с этим, как следует из материалов дела, каких-либо оснований сомневаться в достоверности представленных в них сведений в контексте ч. </w:t>
      </w:r>
      <w:r>
        <w:rPr>
          <w:rStyle w:val="CharStyle10"/>
          <w:lang w:val="en-US" w:eastAsia="en-US"/>
        </w:rPr>
        <w:t xml:space="preserve">5 </w:t>
      </w:r>
      <w:r>
        <w:rPr>
          <w:rStyle w:val="CharStyle10"/>
        </w:rPr>
        <w:t xml:space="preserve">ст. </w:t>
      </w:r>
      <w:r>
        <w:rPr>
          <w:rStyle w:val="CharStyle10"/>
          <w:lang w:val="en-US" w:eastAsia="en-US"/>
        </w:rPr>
        <w:t xml:space="preserve">10 </w:t>
      </w:r>
      <w:r>
        <w:rPr>
          <w:rStyle w:val="CharStyle10"/>
        </w:rPr>
        <w:t>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комиссии по осуществлению закупок Заказчика не имелось, неопровержимыми доказательствами недостоверности таких сведений, на момент рассмотрения заявки участника закупки, последняя не располагала.</w:t>
      </w:r>
    </w:p>
    <w:p>
      <w:pPr>
        <w:pStyle w:val="Style9"/>
        <w:keepNext w:val="0"/>
        <w:keepLines w:val="0"/>
        <w:widowControl w:val="0"/>
        <w:shd w:val="clear" w:color="auto" w:fill="auto"/>
        <w:bidi w:val="0"/>
        <w:spacing w:before="0" w:after="0"/>
        <w:ind w:left="0" w:right="0" w:firstLine="700"/>
        <w:jc w:val="both"/>
      </w:pPr>
      <w:r>
        <w:rPr>
          <w:rStyle w:val="CharStyle10"/>
        </w:rPr>
        <w:t>Доказательств обратного представителем Заказчика на заседании Комиссии Управления не представлено.</w:t>
      </w:r>
    </w:p>
    <w:p>
      <w:pPr>
        <w:pStyle w:val="Style9"/>
        <w:keepNext w:val="0"/>
        <w:keepLines w:val="0"/>
        <w:widowControl w:val="0"/>
        <w:shd w:val="clear" w:color="auto" w:fill="auto"/>
        <w:bidi w:val="0"/>
        <w:spacing w:before="0" w:after="0"/>
        <w:ind w:left="0" w:right="0" w:firstLine="700"/>
        <w:jc w:val="both"/>
      </w:pPr>
      <w:r>
        <w:rPr>
          <w:rStyle w:val="CharStyle10"/>
        </w:rPr>
        <w:t>На основании вышеизложенного Комиссия Управления приходит к выводу, что у комиссии по осуществлению закупок Заказчика, на момент рассмотрения заявки участника закупки, отсутствовали документы и сведения, подтверждающие факт представления участником закупки недостоверных сведений в составе заявки на участие в закупке, в связи с чем у комиссии по осуществлению закупок Заказчика отсутствовали правовые основания к отклонению заявки Заявителя, в рамках информации, указанной в протоколе подведения итогов.</w:t>
      </w:r>
    </w:p>
    <w:p>
      <w:pPr>
        <w:pStyle w:val="Style9"/>
        <w:keepNext w:val="0"/>
        <w:keepLines w:val="0"/>
        <w:widowControl w:val="0"/>
        <w:shd w:val="clear" w:color="auto" w:fill="auto"/>
        <w:bidi w:val="0"/>
        <w:spacing w:before="0" w:after="0"/>
        <w:ind w:left="0" w:right="0" w:firstLine="700"/>
        <w:jc w:val="both"/>
      </w:pPr>
      <w:r>
        <w:rPr>
          <w:rStyle w:val="CharStyle10"/>
        </w:rPr>
        <w:t>Таким образом, Комиссия Управления приходит к выводу о том, что решение комиссии по осуществлению закупок Заказчика в части отклонения заявки ООО «Компания «Н.В.П», по основанию указанному в протоколе подведения итогов, принято в нарушение пп.«а» п.1 ч.5 ст.49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ч.7 ст.7.30.1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ind w:left="0" w:right="0" w:firstLine="700"/>
        <w:jc w:val="both"/>
        <w:sectPr>
          <w:headerReference w:type="default" r:id="rId15"/>
          <w:footerReference w:type="default" r:id="rId16"/>
          <w:footnotePr>
            <w:pos w:val="pageBottom"/>
            <w:numFmt w:val="decimal"/>
            <w:numRestart w:val="continuous"/>
          </w:footnotePr>
          <w:pgSz w:w="11900" w:h="16840"/>
          <w:pgMar w:top="1162" w:right="550" w:bottom="1162" w:left="1106" w:header="0" w:footer="3" w:gutter="0"/>
          <w:cols w:space="720"/>
          <w:noEndnote/>
          <w:rtlGutter w:val="0"/>
          <w:docGrid w:linePitch="360"/>
        </w:sectPr>
      </w:pPr>
      <w:r>
        <w:rPr>
          <w:rStyle w:val="CharStyle10"/>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00"/>
        <w:ind w:left="0" w:right="0" w:firstLine="0"/>
        <w:jc w:val="center"/>
      </w:pPr>
      <w:r>
        <w:rPr>
          <w:rStyle w:val="CharStyle10"/>
          <w:b/>
          <w:bCs/>
        </w:rPr>
        <w:t>Р Е Ш И Л А:</w:t>
      </w:r>
    </w:p>
    <w:p>
      <w:pPr>
        <w:pStyle w:val="Style9"/>
        <w:keepNext w:val="0"/>
        <w:keepLines w:val="0"/>
        <w:widowControl w:val="0"/>
        <w:numPr>
          <w:ilvl w:val="0"/>
          <w:numId w:val="9"/>
        </w:numPr>
        <w:shd w:val="clear" w:color="auto" w:fill="auto"/>
        <w:tabs>
          <w:tab w:pos="1416" w:val="left"/>
        </w:tabs>
        <w:bidi w:val="0"/>
        <w:spacing w:before="0" w:after="0"/>
        <w:ind w:left="0" w:right="0" w:firstLine="700"/>
        <w:jc w:val="both"/>
      </w:pPr>
      <w:r>
        <w:rPr>
          <w:rStyle w:val="CharStyle10"/>
        </w:rPr>
        <w:t>Признать жалобу ООО «Компания «Н.В.П» на действия комиссии по осуществлению закупок ФГБУ «НМИЦ ТИО им. ак. В.И. Шумакова» Минздрава России обоснованной.</w:t>
      </w:r>
    </w:p>
    <w:p>
      <w:pPr>
        <w:pStyle w:val="Style9"/>
        <w:keepNext w:val="0"/>
        <w:keepLines w:val="0"/>
        <w:widowControl w:val="0"/>
        <w:numPr>
          <w:ilvl w:val="0"/>
          <w:numId w:val="9"/>
        </w:numPr>
        <w:shd w:val="clear" w:color="auto" w:fill="auto"/>
        <w:tabs>
          <w:tab w:pos="1416" w:val="left"/>
        </w:tabs>
        <w:bidi w:val="0"/>
        <w:spacing w:before="0" w:after="0"/>
        <w:ind w:left="0" w:right="0" w:firstLine="700"/>
        <w:jc w:val="both"/>
      </w:pPr>
      <w:r>
        <w:rPr>
          <w:rStyle w:val="CharStyle10"/>
        </w:rPr>
        <w:t>Признать в действиях комиссии по осуществлению закупок Заказчика нарушение пп.«а» п.1 ч.5 ст.49 Закона о контрактной системе.</w:t>
      </w:r>
    </w:p>
    <w:p>
      <w:pPr>
        <w:pStyle w:val="Style9"/>
        <w:keepNext w:val="0"/>
        <w:keepLines w:val="0"/>
        <w:widowControl w:val="0"/>
        <w:numPr>
          <w:ilvl w:val="0"/>
          <w:numId w:val="9"/>
        </w:numPr>
        <w:shd w:val="clear" w:color="auto" w:fill="auto"/>
        <w:tabs>
          <w:tab w:pos="1416" w:val="left"/>
        </w:tabs>
        <w:bidi w:val="0"/>
        <w:spacing w:before="0" w:after="0"/>
        <w:ind w:left="0" w:right="0" w:firstLine="700"/>
        <w:jc w:val="both"/>
      </w:pPr>
      <w:r>
        <w:rPr>
          <w:rStyle w:val="CharStyle10"/>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9"/>
        </w:numPr>
        <w:shd w:val="clear" w:color="auto" w:fill="auto"/>
        <w:tabs>
          <w:tab w:pos="1416" w:val="left"/>
        </w:tabs>
        <w:bidi w:val="0"/>
        <w:spacing w:before="0" w:after="300"/>
        <w:ind w:left="0" w:right="0" w:firstLine="700"/>
        <w:jc w:val="both"/>
      </w:pPr>
      <w:r>
        <w:rPr>
          <w:rStyle w:val="CharStyle1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ind w:left="0" w:right="0" w:firstLine="70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установленном гл. </w:t>
      </w:r>
      <w:r>
        <w:rPr>
          <w:rStyle w:val="CharStyle10"/>
          <w:lang w:val="en-US" w:eastAsia="en-US"/>
        </w:rPr>
        <w:t xml:space="preserve">24 </w:t>
      </w:r>
      <w:r>
        <w:rPr>
          <w:rStyle w:val="CharStyle10"/>
        </w:rPr>
        <w:t>АПК РФ.</w:t>
      </w:r>
    </w:p>
    <w:p>
      <w:pPr>
        <w:widowControl w:val="0"/>
        <w:spacing w:line="1" w:lineRule="exact"/>
        <w:sectPr>
          <w:headerReference w:type="default" r:id="rId17"/>
          <w:footerReference w:type="default" r:id="rId18"/>
          <w:footnotePr>
            <w:pos w:val="pageBottom"/>
            <w:numFmt w:val="decimal"/>
            <w:numRestart w:val="continuous"/>
          </w:footnotePr>
          <w:pgSz w:w="11900" w:h="16840"/>
          <w:pgMar w:top="1158" w:right="532" w:bottom="1484" w:left="1106" w:header="0" w:footer="3" w:gutter="0"/>
          <w:pgNumType w:start="1"/>
          <w:cols w:space="720"/>
          <w:noEndnote/>
          <w:rtlGutter w:val="0"/>
          <w:docGrid w:linePitch="360"/>
        </w:sectPr>
      </w:pPr>
      <w:r>
        <mc:AlternateContent>
          <mc:Choice Requires="wps">
            <w:drawing>
              <wp:anchor distT="127000" distB="216535" distL="0" distR="0" simplePos="0" relativeHeight="125829378" behindDoc="0" locked="0" layoutInCell="1" allowOverlap="1">
                <wp:simplePos x="0" y="0"/>
                <wp:positionH relativeFrom="page">
                  <wp:posOffset>739140</wp:posOffset>
                </wp:positionH>
                <wp:positionV relativeFrom="paragraph">
                  <wp:posOffset>127000</wp:posOffset>
                </wp:positionV>
                <wp:extent cx="1896110" cy="252730"/>
                <wp:wrapTopAndBottom/>
                <wp:docPr id="20" name="Shape 20"/>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46" type="#_x0000_t202" style="position:absolute;margin-left:58.200000000000003pt;margin-top:10.pt;width:149.30000000000001pt;height:19.900000000000002pt;z-index:-125829375;mso-wrap-distance-left:0;mso-wrap-distance-top:10.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200025" distB="0" distL="0" distR="1786255" simplePos="0" relativeHeight="125829380" behindDoc="0" locked="0" layoutInCell="1" allowOverlap="1">
            <wp:simplePos x="0" y="0"/>
            <wp:positionH relativeFrom="page">
              <wp:posOffset>3107690</wp:posOffset>
            </wp:positionH>
            <wp:positionV relativeFrom="paragraph">
              <wp:posOffset>200025</wp:posOffset>
            </wp:positionV>
            <wp:extent cx="359410" cy="396240"/>
            <wp:wrapTopAndBottom/>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9"/>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3528060</wp:posOffset>
                </wp:positionH>
                <wp:positionV relativeFrom="paragraph">
                  <wp:posOffset>288290</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7.80000000000001pt;margin-top:22.699999999999999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6535" distL="0" distR="0" simplePos="0" relativeHeight="125829381" behindDoc="0" locked="0" layoutInCell="1" allowOverlap="1">
                <wp:simplePos x="0" y="0"/>
                <wp:positionH relativeFrom="page">
                  <wp:posOffset>6082030</wp:posOffset>
                </wp:positionH>
                <wp:positionV relativeFrom="paragraph">
                  <wp:posOffset>127000</wp:posOffset>
                </wp:positionV>
                <wp:extent cx="1136650" cy="252730"/>
                <wp:wrapTopAndBottom/>
                <wp:docPr id="26" name="Shape 26"/>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Д.С. Грешнева</w:t>
                            </w:r>
                          </w:p>
                        </w:txbxContent>
                      </wps:txbx>
                      <wps:bodyPr wrap="none" lIns="0" tIns="0" rIns="0" bIns="0">
                        <a:noAutoFit/>
                      </wps:bodyPr>
                    </wps:wsp>
                  </a:graphicData>
                </a:graphic>
              </wp:anchor>
            </w:drawing>
          </mc:Choice>
          <mc:Fallback>
            <w:pict>
              <v:shape id="_x0000_s1052" type="#_x0000_t202" style="position:absolute;margin-left:478.90000000000003pt;margin-top:10.pt;width:89.5pt;height:19.900000000000002pt;z-index:-125829372;mso-wrap-distance-left:0;mso-wrap-distance-top:10.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Д.С. Грешнева</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Грешнева Дарья Сергеевна</w:t>
      </w:r>
    </w:p>
    <w:p>
      <w:pPr>
        <w:pStyle w:val="Style21"/>
        <w:keepNext w:val="0"/>
        <w:keepLines w:val="0"/>
        <w:widowControl w:val="0"/>
        <w:shd w:val="clear" w:color="auto" w:fill="auto"/>
        <w:bidi w:val="0"/>
        <w:spacing w:before="0" w:after="0" w:line="240" w:lineRule="auto"/>
        <w:ind w:right="0" w:firstLine="0"/>
        <w:jc w:val="left"/>
      </w:pPr>
      <w:r>
        <w:rPr>
          <w:rStyle w:val="CharStyle22"/>
          <w:color w:val="292929"/>
        </w:rPr>
        <w:t xml:space="preserve">Сертификат № </w:t>
      </w:r>
      <w:r>
        <w:rPr>
          <w:rStyle w:val="CharStyle22"/>
          <w:color w:val="5D5D5D"/>
        </w:rPr>
        <w:t>00831</w:t>
      </w:r>
      <w:r>
        <w:rPr>
          <w:rStyle w:val="CharStyle22"/>
          <w:lang w:val="en-US" w:eastAsia="en-US"/>
        </w:rPr>
        <w:t>B7545C61281C4BAB156778A683BFB</w:t>
      </w:r>
    </w:p>
    <w:p>
      <w:pPr>
        <w:pStyle w:val="Style21"/>
        <w:keepNext w:val="0"/>
        <w:keepLines w:val="0"/>
        <w:widowControl w:val="0"/>
        <w:shd w:val="clear" w:color="auto" w:fill="auto"/>
        <w:bidi w:val="0"/>
        <w:spacing w:before="0" w:after="560" w:line="240" w:lineRule="auto"/>
        <w:ind w:right="0" w:firstLine="0"/>
        <w:jc w:val="left"/>
      </w:pPr>
      <w:r>
        <w:rPr>
          <w:rStyle w:val="CharStyle22"/>
        </w:rPr>
        <w:t xml:space="preserve">Действителен с </w:t>
      </w:r>
      <w:r>
        <w:rPr>
          <w:rStyle w:val="CharStyle22"/>
          <w:color w:val="292929"/>
        </w:rPr>
        <w:t xml:space="preserve">17.07.2025 </w:t>
      </w:r>
      <w:r>
        <w:rPr>
          <w:rStyle w:val="CharStyle22"/>
          <w:color w:val="5D5D5D"/>
        </w:rPr>
        <w:t xml:space="preserve">по </w:t>
      </w:r>
      <w:r>
        <w:rPr>
          <w:rStyle w:val="CharStyle22"/>
        </w:rPr>
        <w:t>10.10.2026</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640" w:line="240" w:lineRule="auto"/>
        <w:ind w:left="0" w:right="0" w:firstLine="820"/>
        <w:jc w:val="left"/>
      </w:pPr>
      <w:r>
        <w:drawing>
          <wp:anchor distT="0" distB="0" distL="114300" distR="1900555" simplePos="0" relativeHeight="125829383" behindDoc="0" locked="0" layoutInCell="1" allowOverlap="1">
            <wp:simplePos x="0" y="0"/>
            <wp:positionH relativeFrom="page">
              <wp:posOffset>3073400</wp:posOffset>
            </wp:positionH>
            <wp:positionV relativeFrom="paragraph">
              <wp:posOffset>25400</wp:posOffset>
            </wp:positionV>
            <wp:extent cx="389890" cy="554990"/>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21"/>
                    <a:stretch/>
                  </pic:blipFill>
                  <pic:spPr>
                    <a:xfrm>
                      <a:ext cx="389890"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464185</wp:posOffset>
                </wp:positionV>
                <wp:extent cx="1283335" cy="100330"/>
                <wp:wrapNone/>
                <wp:docPr id="30" name="Shape 3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56" type="#_x0000_t202" style="position:absolute;margin-left:280.90000000000003pt;margin-top:36.550000000000004pt;width:101.05pt;height:7.9000000000000004pt;z-index:251657731;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147320</wp:posOffset>
                </wp:positionV>
                <wp:extent cx="1722120" cy="259080"/>
                <wp:wrapNone/>
                <wp:docPr id="32" name="Shape 3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7.75pt;margin-top:11.6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А.А. Матюшенко</w:t>
      </w:r>
    </w:p>
    <w:p>
      <w:pPr>
        <w:pStyle w:val="Style21"/>
        <w:keepNext w:val="0"/>
        <w:keepLines w:val="0"/>
        <w:widowControl w:val="0"/>
        <w:shd w:val="clear" w:color="auto" w:fill="auto"/>
        <w:bidi w:val="0"/>
        <w:spacing w:before="0" w:after="0"/>
        <w:ind w:right="0" w:firstLine="0"/>
        <w:jc w:val="left"/>
      </w:pPr>
      <w:r>
        <w:rPr>
          <w:rStyle w:val="CharStyle22"/>
        </w:rPr>
        <w:t xml:space="preserve">Кому выдан: </w:t>
      </w:r>
      <w:r>
        <w:rPr>
          <w:rStyle w:val="CharStyle22"/>
          <w:color w:val="000000"/>
        </w:rPr>
        <w:t>Матюшенко Александр Александрович</w:t>
      </w:r>
      <w:r>
        <w:rPr>
          <w:rStyle w:val="CharStyle22"/>
          <w:color w:val="000000"/>
        </w:rPr>
        <w:t xml:space="preserve"> </w:t>
      </w:r>
      <w:r>
        <w:rPr>
          <w:rStyle w:val="CharStyle22"/>
        </w:rPr>
        <w:t xml:space="preserve">Сертификат </w:t>
      </w:r>
      <w:r>
        <w:rPr>
          <w:rStyle w:val="CharStyle22"/>
          <w:color w:val="292929"/>
        </w:rPr>
        <w:t xml:space="preserve">№ </w:t>
      </w:r>
      <w:r>
        <w:rPr>
          <w:rStyle w:val="CharStyle22"/>
          <w:lang w:val="en-US" w:eastAsia="en-US"/>
        </w:rPr>
        <w:t>4F595A5C3E5ABB2DD77161F08559FC07</w:t>
      </w:r>
    </w:p>
    <w:p>
      <w:pPr>
        <w:pStyle w:val="Style21"/>
        <w:keepNext w:val="0"/>
        <w:keepLines w:val="0"/>
        <w:widowControl w:val="0"/>
        <w:shd w:val="clear" w:color="auto" w:fill="auto"/>
        <w:bidi w:val="0"/>
        <w:spacing w:before="0" w:after="560"/>
        <w:ind w:right="0" w:firstLine="0"/>
        <w:jc w:val="left"/>
      </w:pPr>
      <w:r>
        <w:rPr>
          <w:rStyle w:val="CharStyle22"/>
        </w:rPr>
        <w:t xml:space="preserve">Действителен с 22.07.2025 </w:t>
      </w:r>
      <w:r>
        <w:rPr>
          <w:rStyle w:val="CharStyle22"/>
          <w:color w:val="5D5D5D"/>
        </w:rPr>
        <w:t xml:space="preserve">по </w:t>
      </w:r>
      <w:r>
        <w:rPr>
          <w:rStyle w:val="CharStyle22"/>
        </w:rPr>
        <w:t>15.10.2026</w:t>
      </w:r>
    </w:p>
    <w:p>
      <w:pPr>
        <w:pStyle w:val="Style9"/>
        <w:keepNext w:val="0"/>
        <w:keepLines w:val="0"/>
        <w:widowControl w:val="0"/>
        <w:shd w:val="clear" w:color="auto" w:fill="auto"/>
        <w:bidi w:val="0"/>
        <w:spacing w:before="0" w:after="640" w:line="240" w:lineRule="auto"/>
        <w:ind w:left="0" w:right="0" w:firstLine="820"/>
        <w:jc w:val="left"/>
      </w:pPr>
      <w:r>
        <w:drawing>
          <wp:anchor distT="0" distB="0" distL="114300" distR="1900555" simplePos="0" relativeHeight="125829384" behindDoc="0" locked="0" layoutInCell="1" allowOverlap="1">
            <wp:simplePos x="0" y="0"/>
            <wp:positionH relativeFrom="page">
              <wp:posOffset>3107055</wp:posOffset>
            </wp:positionH>
            <wp:positionV relativeFrom="paragraph">
              <wp:posOffset>63500</wp:posOffset>
            </wp:positionV>
            <wp:extent cx="359410" cy="524510"/>
            <wp:wrapSquare wrapText="right"/>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23"/>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3567430</wp:posOffset>
                </wp:positionH>
                <wp:positionV relativeFrom="paragraph">
                  <wp:posOffset>468630</wp:posOffset>
                </wp:positionV>
                <wp:extent cx="1283335" cy="100330"/>
                <wp:wrapNone/>
                <wp:docPr id="36" name="Shape 3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62" type="#_x0000_t202" style="position:absolute;margin-left:280.90000000000003pt;margin-top:36.899999999999999pt;width:101.05pt;height:7.9000000000000004pt;z-index:251657735;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3524885</wp:posOffset>
                </wp:positionH>
                <wp:positionV relativeFrom="paragraph">
                  <wp:posOffset>151765</wp:posOffset>
                </wp:positionV>
                <wp:extent cx="1725295" cy="259080"/>
                <wp:wrapNone/>
                <wp:docPr id="38" name="Shape 38"/>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4" type="#_x0000_t202" style="position:absolute;margin-left:277.55000000000001pt;margin-top:11.950000000000001pt;width:135.84999999999999pt;height:20.400000000000002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Е.С. Переверзева</w:t>
      </w:r>
    </w:p>
    <w:p>
      <w:pPr>
        <w:pStyle w:val="Style21"/>
        <w:keepNext w:val="0"/>
        <w:keepLines w:val="0"/>
        <w:widowControl w:val="0"/>
        <w:shd w:val="clear" w:color="auto" w:fill="auto"/>
        <w:bidi w:val="0"/>
        <w:spacing w:before="0" w:after="0"/>
        <w:ind w:right="0" w:firstLine="0"/>
        <w:jc w:val="left"/>
      </w:pPr>
      <w:r>
        <w:rPr>
          <w:rStyle w:val="CharStyle22"/>
        </w:rPr>
        <w:t xml:space="preserve">Кому выдан: </w:t>
      </w:r>
      <w:r>
        <w:rPr>
          <w:rStyle w:val="CharStyle22"/>
          <w:color w:val="000000"/>
        </w:rPr>
        <w:t>ПЕРЕВЕРЗЕВА ЕЛИЗАВЕТА СЕРГЕЕВНА</w:t>
      </w:r>
      <w:r>
        <w:rPr>
          <w:rStyle w:val="CharStyle22"/>
          <w:color w:val="000000"/>
        </w:rPr>
        <w:t xml:space="preserve"> </w:t>
      </w:r>
      <w:r>
        <w:rPr>
          <w:rStyle w:val="CharStyle22"/>
        </w:rPr>
        <w:t xml:space="preserve">Сертификат </w:t>
      </w:r>
      <w:r>
        <w:rPr>
          <w:rStyle w:val="CharStyle22"/>
          <w:color w:val="292929"/>
        </w:rPr>
        <w:t xml:space="preserve">№ </w:t>
      </w:r>
      <w:r>
        <w:rPr>
          <w:rStyle w:val="CharStyle22"/>
          <w:lang w:val="en-US" w:eastAsia="en-US"/>
        </w:rPr>
        <w:t>00FFF3ACD3A01A73F4C680C3941</w:t>
      </w:r>
      <w:r>
        <w:rPr>
          <w:rStyle w:val="CharStyle22"/>
        </w:rPr>
        <w:t>ЕЗСА026</w:t>
      </w:r>
    </w:p>
    <w:p>
      <w:pPr>
        <w:pStyle w:val="Style21"/>
        <w:keepNext w:val="0"/>
        <w:keepLines w:val="0"/>
        <w:widowControl w:val="0"/>
        <w:shd w:val="clear" w:color="auto" w:fill="auto"/>
        <w:bidi w:val="0"/>
        <w:spacing w:before="0" w:after="2160"/>
        <w:ind w:right="0" w:firstLine="0"/>
        <w:jc w:val="left"/>
      </w:pPr>
      <w:r>
        <w:rPr>
          <w:rStyle w:val="CharStyle22"/>
        </w:rPr>
        <w:t xml:space="preserve">Действителен с 11.12.2025 </w:t>
      </w:r>
      <w:r>
        <w:rPr>
          <w:rStyle w:val="CharStyle22"/>
          <w:color w:val="5D5D5D"/>
        </w:rPr>
        <w:t xml:space="preserve">по </w:t>
      </w:r>
      <w:r>
        <w:rPr>
          <w:rStyle w:val="CharStyle22"/>
        </w:rPr>
        <w:t>06.03.2027</w:t>
      </w:r>
    </w:p>
    <w:p>
      <w:pPr>
        <w:pStyle w:val="Style26"/>
        <w:keepNext w:val="0"/>
        <w:keepLines w:val="0"/>
        <w:widowControl w:val="0"/>
        <w:shd w:val="clear" w:color="auto" w:fill="auto"/>
        <w:bidi w:val="0"/>
        <w:spacing w:before="0" w:line="240" w:lineRule="auto"/>
        <w:ind w:left="0" w:right="0" w:firstLine="0"/>
        <w:jc w:val="left"/>
      </w:pPr>
      <w:r>
        <w:rPr>
          <w:rStyle w:val="CharStyle27"/>
        </w:rPr>
        <w:t>Исп. Матюшенко А.А., 8(495)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731520</wp:posOffset>
              </wp:positionH>
              <wp:positionV relativeFrom="page">
                <wp:posOffset>10015220</wp:posOffset>
              </wp:positionV>
              <wp:extent cx="725170" cy="103505"/>
              <wp:wrapNone/>
              <wp:docPr id="4" name="Shape 4"/>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2026-22936</w:t>
                          </w:r>
                        </w:p>
                      </w:txbxContent>
                    </wps:txbx>
                    <wps:bodyPr wrap="none" lIns="0" tIns="0" rIns="0" bIns="0">
                      <a:spAutoFit/>
                    </wps:bodyPr>
                  </wps:wsp>
                </a:graphicData>
              </a:graphic>
            </wp:anchor>
          </w:drawing>
        </mc:Choice>
        <mc:Fallback>
          <w:pict>
            <v:shape id="_x0000_s1030" type="#_x0000_t202" style="position:absolute;margin-left:57.600000000000001pt;margin-top:788.60000000000002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2026-22936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34695" cy="125095"/>
              <wp:wrapNone/>
              <wp:docPr id="6" name="Shape 6"/>
              <a:graphic xmlns:a="http://schemas.openxmlformats.org/drawingml/2006/main">
                <a:graphicData uri="http://schemas.microsoft.com/office/word/2010/wordprocessingShape">
                  <wps:wsp>
                    <wps:cNvSpPr txBox="1"/>
                    <wps:spPr>
                      <a:xfrm>
                        <a:ext cx="7346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226-22936</w:t>
                          </w:r>
                        </w:p>
                      </w:txbxContent>
                    </wps:txbx>
                    <wps:bodyPr wrap="none" lIns="0" tIns="0" rIns="0" bIns="0">
                      <a:spAutoFit/>
                    </wps:bodyPr>
                  </wps:wsp>
                </a:graphicData>
              </a:graphic>
            </wp:anchor>
          </w:drawing>
        </mc:Choice>
        <mc:Fallback>
          <w:pict>
            <v:shape id="_x0000_s1032" type="#_x0000_t202" style="position:absolute;margin-left:57.pt;margin-top:804.5pt;width:57.85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226-22936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727075</wp:posOffset>
              </wp:positionH>
              <wp:positionV relativeFrom="page">
                <wp:posOffset>10092690</wp:posOffset>
              </wp:positionV>
              <wp:extent cx="725170" cy="103505"/>
              <wp:wrapNone/>
              <wp:docPr id="14" name="Shape 14"/>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2026-22936</w:t>
                          </w:r>
                        </w:p>
                      </w:txbxContent>
                    </wps:txbx>
                    <wps:bodyPr wrap="none" lIns="0" tIns="0" rIns="0" bIns="0">
                      <a:spAutoFit/>
                    </wps:bodyPr>
                  </wps:wsp>
                </a:graphicData>
              </a:graphic>
            </wp:anchor>
          </w:drawing>
        </mc:Choice>
        <mc:Fallback>
          <w:pict>
            <v:shape id="_x0000_s1040" type="#_x0000_t202" style="position:absolute;margin-left:57.25pt;margin-top:794.70000000000005pt;width:57.100000000000001pt;height:8.15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2026-22936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726440</wp:posOffset>
              </wp:positionH>
              <wp:positionV relativeFrom="page">
                <wp:posOffset>10092690</wp:posOffset>
              </wp:positionV>
              <wp:extent cx="725170" cy="103505"/>
              <wp:wrapNone/>
              <wp:docPr id="18" name="Shape 18"/>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2026-22936</w:t>
                          </w:r>
                        </w:p>
                      </w:txbxContent>
                    </wps:txbx>
                    <wps:bodyPr wrap="none" lIns="0" tIns="0" rIns="0" bIns="0">
                      <a:spAutoFit/>
                    </wps:bodyPr>
                  </wps:wsp>
                </a:graphicData>
              </a:graphic>
            </wp:anchor>
          </w:drawing>
        </mc:Choice>
        <mc:Fallback>
          <w:pict>
            <v:shape id="_x0000_s1044" type="#_x0000_t202" style="position:absolute;margin-left:57.200000000000003pt;margin-top:794.70000000000005pt;width:57.100000000000001pt;height:8.1500000000000004pt;z-index:-1887440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2026-22936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3931920</wp:posOffset>
              </wp:positionH>
              <wp:positionV relativeFrom="page">
                <wp:posOffset>432435</wp:posOffset>
              </wp:positionV>
              <wp:extent cx="67310" cy="69850"/>
              <wp:wrapNone/>
              <wp:docPr id="2" name="Shape 2"/>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60000000000002pt;margin-top:34.049999999999997pt;width:5.2999999999999998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3925570</wp:posOffset>
              </wp:positionH>
              <wp:positionV relativeFrom="page">
                <wp:posOffset>476250</wp:posOffset>
              </wp:positionV>
              <wp:extent cx="57785" cy="69850"/>
              <wp:wrapNone/>
              <wp:docPr id="10" name="Shape 10"/>
              <a:graphic xmlns:a="http://schemas.openxmlformats.org/drawingml/2006/main">
                <a:graphicData uri="http://schemas.microsoft.com/office/word/2010/wordprocessingShape">
                  <wps:wsp>
                    <wps:cNvSpPr txBox="1"/>
                    <wps:spPr>
                      <a:xfrm>
                        <a:ext cx="577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6" type="#_x0000_t202" style="position:absolute;margin-left:309.10000000000002pt;margin-top:37.5pt;width:4.5499999999999998pt;height:5.5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3927475</wp:posOffset>
              </wp:positionH>
              <wp:positionV relativeFrom="page">
                <wp:posOffset>509270</wp:posOffset>
              </wp:positionV>
              <wp:extent cx="67310" cy="85090"/>
              <wp:wrapNone/>
              <wp:docPr id="12" name="Shape 12"/>
              <a:graphic xmlns:a="http://schemas.openxmlformats.org/drawingml/2006/main">
                <a:graphicData uri="http://schemas.microsoft.com/office/word/2010/wordprocessingShape">
                  <wps:wsp>
                    <wps:cNvSpPr txBox="1"/>
                    <wps:spPr>
                      <a:xfrm>
                        <a:ext cx="6731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8" type="#_x0000_t202" style="position:absolute;margin-left:309.25pt;margin-top:40.100000000000001pt;width:5.2999999999999998pt;height:6.7000000000000002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3884295</wp:posOffset>
              </wp:positionH>
              <wp:positionV relativeFrom="page">
                <wp:posOffset>509270</wp:posOffset>
              </wp:positionV>
              <wp:extent cx="69850" cy="85090"/>
              <wp:wrapNone/>
              <wp:docPr id="16" name="Shape 16"/>
              <a:graphic xmlns:a="http://schemas.openxmlformats.org/drawingml/2006/main">
                <a:graphicData uri="http://schemas.microsoft.com/office/word/2010/wordprocessingShape">
                  <wps:wsp>
                    <wps:cNvSpPr txBox="1"/>
                    <wps:spPr>
                      <a:xfrm>
                        <a:ext cx="6985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2" type="#_x0000_t202" style="position:absolute;margin-left:305.85000000000002pt;margin-top:40.100000000000001pt;width:5.5pt;height:6.7000000000000002pt;z-index:-18874405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Heading #1_"/>
    <w:basedOn w:val="DefaultParagraphFont"/>
    <w:link w:val="Style12"/>
    <w:rPr>
      <w:rFonts w:ascii="Times New Roman" w:eastAsia="Times New Roman" w:hAnsi="Times New Roman" w:cs="Times New Roman"/>
      <w:b w:val="0"/>
      <w:bCs w:val="0"/>
      <w:i w:val="0"/>
      <w:iCs w:val="0"/>
      <w:smallCaps w:val="0"/>
      <w:strike w:val="0"/>
      <w:sz w:val="34"/>
      <w:szCs w:val="34"/>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5)_"/>
    <w:basedOn w:val="DefaultParagraphFont"/>
    <w:link w:val="Style19"/>
    <w:rPr>
      <w:rFonts w:ascii="Georgia" w:eastAsia="Georgia" w:hAnsi="Georgia" w:cs="Georgia"/>
      <w:b w:val="0"/>
      <w:bCs w:val="0"/>
      <w:i w:val="0"/>
      <w:iCs w:val="0"/>
      <w:smallCaps w:val="0"/>
      <w:strike w:val="0"/>
      <w:color w:val="EBEBEB"/>
      <w:sz w:val="12"/>
      <w:szCs w:val="12"/>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34343"/>
      <w:sz w:val="12"/>
      <w:szCs w:val="12"/>
      <w:u w:val="none"/>
    </w:rPr>
  </w:style>
  <w:style w:type="character" w:customStyle="1" w:styleId="CharStyle27">
    <w:name w:val="Body text (4)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Heading #1"/>
    <w:basedOn w:val="Normal"/>
    <w:link w:val="CharStyle13"/>
    <w:pPr>
      <w:widowControl w:val="0"/>
      <w:shd w:val="clear" w:color="auto" w:fill="auto"/>
      <w:spacing w:after="240"/>
      <w:ind w:firstLine="360"/>
      <w:outlineLvl w:val="0"/>
    </w:pPr>
    <w:rPr>
      <w:rFonts w:ascii="Times New Roman" w:eastAsia="Times New Roman" w:hAnsi="Times New Roman" w:cs="Times New Roman"/>
      <w:b w:val="0"/>
      <w:bCs w:val="0"/>
      <w:i w:val="0"/>
      <w:iCs w:val="0"/>
      <w:smallCaps w:val="0"/>
      <w:strike w:val="0"/>
      <w:sz w:val="34"/>
      <w:szCs w:val="34"/>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5)"/>
    <w:basedOn w:val="Normal"/>
    <w:link w:val="CharStyle20"/>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1">
    <w:name w:val="Body text (2)"/>
    <w:basedOn w:val="Normal"/>
    <w:link w:val="CharStyle22"/>
    <w:pPr>
      <w:widowControl w:val="0"/>
      <w:shd w:val="clear" w:color="auto" w:fill="auto"/>
      <w:spacing w:line="266" w:lineRule="auto"/>
      <w:ind w:left="3820"/>
    </w:pPr>
    <w:rPr>
      <w:rFonts w:ascii="Arial" w:eastAsia="Arial" w:hAnsi="Arial" w:cs="Arial"/>
      <w:b w:val="0"/>
      <w:bCs w:val="0"/>
      <w:i w:val="0"/>
      <w:iCs w:val="0"/>
      <w:smallCaps w:val="0"/>
      <w:strike w:val="0"/>
      <w:color w:val="434343"/>
      <w:sz w:val="12"/>
      <w:szCs w:val="12"/>
      <w:u w:val="none"/>
    </w:rPr>
  </w:style>
  <w:style w:type="paragraph" w:customStyle="1" w:styleId="Style26">
    <w:name w:val="Body text (4)"/>
    <w:basedOn w:val="Normal"/>
    <w:link w:val="CharStyle27"/>
    <w:pPr>
      <w:widowControl w:val="0"/>
      <w:shd w:val="clear" w:color="auto" w:fill="auto"/>
      <w:spacing w:after="3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 Id="rId23" Type="http://schemas.openxmlformats.org/officeDocument/2006/relationships/image" Target="media/image5.jpeg"/><Relationship Id="rId24" Type="http://schemas.openxmlformats.org/officeDocument/2006/relationships/image" Target="media/image5.jpeg" TargetMode="External"/></Relationships>
</file>