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6735" distL="1071245" distR="10687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816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1835" distB="0" distL="114300" distR="114300" simplePos="0" relativeHeight="125829379" behindDoc="0" locked="0" layoutInCell="1" allowOverlap="1">
                <wp:simplePos x="0" y="0"/>
                <wp:positionH relativeFrom="page">
                  <wp:posOffset>826135</wp:posOffset>
                </wp:positionH>
                <wp:positionV relativeFrom="paragraph">
                  <wp:posOffset>724535</wp:posOffset>
                </wp:positionV>
                <wp:extent cx="2426335" cy="171132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6335" cy="1711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9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Адрес места нахождения: г.Томск, пр-кт. Ленина, 111</w:t>
                              <w:br/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"mailto:to70@fas.gov.ru"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to70@fas.gov.ru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4" w:val="left"/>
                              </w:tabs>
                              <w:bidi w:val="0"/>
                              <w:spacing w:before="0"/>
                              <w:ind w:right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штамп регистрации</w:t>
                              <w:tab/>
                            </w:r>
                            <w:r>
                              <w:rPr>
                                <w:rStyle w:val="CharStyle8"/>
                                <w:smallCaps/>
                                <w:color w:val="4061A9"/>
                                <w:sz w:val="8"/>
                                <w:szCs w:val="8"/>
                              </w:rPr>
                              <w:t>аг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049999999999997pt;margin-top:57.050000000000004pt;width:191.05000000000001pt;height:134.75pt;z-index:-125829374;mso-wrap-distance-left:9.pt;mso-wrap-distance-top:56.050000000000004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9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Адрес места нахождения: г.Томск, пр-кт. Ленина, 111</w:t>
                        <w:br/>
                        <w:t>Почтовый адрес: 634069, г.Томск, пр-кт. Ленина, 111</w:t>
                        <w:br/>
                        <w:t>тел. (3822) 51-50-61, факс (3822) 51-29-80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"mailto:to70@fas.gov.ru"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to70@fas.gov.ru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4" w:val="left"/>
                        </w:tabs>
                        <w:bidi w:val="0"/>
                        <w:spacing w:before="0"/>
                        <w:ind w:right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штамп регистрации</w:t>
                        <w:tab/>
                      </w:r>
                      <w:r>
                        <w:rPr>
                          <w:rStyle w:val="CharStyle8"/>
                          <w:smallCaps/>
                          <w:color w:val="4061A9"/>
                          <w:sz w:val="8"/>
                          <w:szCs w:val="8"/>
                        </w:rPr>
                        <w:t>аг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120" w:right="0" w:firstLine="0"/>
        <w:jc w:val="left"/>
      </w:pPr>
      <w:r>
        <w:rPr>
          <w:rStyle w:val="CharStyle11"/>
        </w:rPr>
        <w:t xml:space="preserve">МКУ «Районный центр Творчества и Досуга с Филиалами» </w:t>
      </w:r>
      <w:r>
        <w:fldChar w:fldCharType="begin"/>
      </w:r>
      <w:r>
        <w:rPr/>
        <w:instrText> HYPERLINK "mailto:tgd-rctd@tomsk.gov.ru" </w:instrText>
      </w:r>
      <w:r>
        <w:fldChar w:fldCharType="separate"/>
      </w:r>
      <w:r>
        <w:rPr>
          <w:rStyle w:val="CharStyle11"/>
          <w:lang w:val="en-US" w:eastAsia="en-US"/>
        </w:rPr>
        <w:t>tgd-rctd@tomsk.gov.ru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11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11"/>
        </w:rPr>
        <w:t>121151, г. Москва, наб.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120" w:right="0" w:firstLine="0"/>
        <w:jc w:val="left"/>
      </w:pPr>
      <w:r>
        <w:rPr>
          <w:rStyle w:val="CharStyle11"/>
        </w:rPr>
        <w:t xml:space="preserve">Шевченко, д. 23А, 25 этаж, пом. 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1"/>
          <w:lang w:val="en-US" w:eastAsia="en-US"/>
        </w:rPr>
        <w:t>ko@rts-tender.ru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sz w:val="15"/>
          <w:szCs w:val="15"/>
        </w:rPr>
        <w:t xml:space="preserve">На№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7"/>
        </w:rPr>
        <w:t>Предписание по делу № 070/06/105 393/2026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1"/>
        </w:rPr>
        <w:t>об устранении нарушений в сфере закупок</w:t>
        <w:br/>
        <w:t>по делу №070/06/105-393/2026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6517005</wp:posOffset>
                </wp:positionH>
                <wp:positionV relativeFrom="paragraph">
                  <wp:posOffset>12700</wp:posOffset>
                </wp:positionV>
                <wp:extent cx="63373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3.14999999999998pt;margin-top:1.pt;width:49.899999999999999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04.05.2026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rStyle w:val="CharStyle11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России) в составе: председателя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3123" w:val="left"/>
        </w:tabs>
        <w:bidi w:val="0"/>
        <w:spacing w:before="0" w:after="0"/>
        <w:ind w:left="0" w:right="0" w:firstLine="740"/>
        <w:jc w:val="left"/>
      </w:pPr>
      <w:r>
        <w:rPr>
          <w:rStyle w:val="CharStyle11"/>
        </w:rPr>
        <w:t>С</w:t>
        <w:tab/>
        <w:t>- врио руководителя Управления;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1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3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М</w:t>
        <w:tab/>
        <w:t>- начальника отдела контроля органов власти и торгов;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3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</w:t>
        <w:tab/>
        <w:t>- специалиста 1 разряда отдела контроля органов власти 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60" w:right="0" w:firstLine="0"/>
        <w:jc w:val="left"/>
      </w:pPr>
      <w:r>
        <w:rPr>
          <w:rStyle w:val="CharStyle11"/>
        </w:rPr>
        <w:t>торгов;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1"/>
        </w:rPr>
        <w:t>рассмотрев жалобу ООО «За Достойную жизнь» (далее – Заявитель) (вх. №3542/26 от 30.04.2026) на действия Заказчика - МКУ «Районный центр Творчества и Досуга с Филиалами» при проведении электронного аукциона «Приобретение звукового оборудования на обеспечение развития и укрепления материально</w:t>
        <w:softHyphen/>
        <w:t>технической базы МКУ «Районный центр творчества и досуга с филиалами».» (извещение № 0365300056126000031),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11"/>
        </w:rPr>
        <w:t>руководствуясь ч. 3, 15, п. 2 ч. 22 ст. 99 и ч. 8 ст. 106 Федерального закона от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9" w:right="473" w:bottom="1222" w:left="1095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 xml:space="preserve">года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Закон о контрактной системе),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Заказчику, аукционной комиссии отменить все протоколы, составленные в ходе определения поставщика.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100"/>
        <w:ind w:left="0" w:right="0" w:firstLine="720"/>
        <w:jc w:val="both"/>
      </w:pPr>
      <w:r>
        <w:rPr>
          <w:rStyle w:val="CharStyle11"/>
        </w:rPr>
        <w:t>вернуть участникам закупки ранее поданные заявки на участие в аукционе;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уведомить участников закупки об отмене протоколов, о новой дате окончания срока подачи заявок на участие в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4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5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04.05.2026 </w:t>
      </w: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 xml:space="preserve">№ 070/06/105-393/2026, </w:t>
      </w:r>
      <w:r>
        <w:rPr>
          <w:rStyle w:val="CharStyle11"/>
        </w:rPr>
        <w:t>разместить соответствующее извещение о проведении аукциона в ЕИС;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4" w:val="left"/>
        </w:tabs>
        <w:bidi w:val="0"/>
        <w:spacing w:before="0" w:after="100"/>
        <w:ind w:left="0" w:right="0" w:firstLine="720"/>
        <w:jc w:val="both"/>
      </w:pPr>
      <w:r>
        <w:rPr>
          <w:rStyle w:val="CharStyle11"/>
        </w:rPr>
        <w:t>назначить новую дату окончания срока подачи заявок на участие в аукционе.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При этом дата окончания срока подачи заявок на участие в аукционе должна быть назначена не ранее чем через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>дней со дня размещения в ЕИС соответствующего извещения о проведении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аукционе, о новой дате окончания срока подачи заявок на участие в аукционе, дате рассмотрения заявок на участие в аукционе, а также о возможности подать новые заявки на участие в аукционе.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rStyle w:val="CharStyle11"/>
        </w:rPr>
        <w:t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</w:rPr>
        <w:t xml:space="preserve">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04.05.2026 </w:t>
      </w: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>№ 070/06/105-393/2026.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40"/>
        <w:jc w:val="both"/>
      </w:pPr>
      <w:r>
        <w:rPr>
          <w:rStyle w:val="CharStyle11"/>
        </w:rPr>
        <w:t xml:space="preserve">Заказчику, Оператору электронной площадки в срок до </w:t>
      </w:r>
      <w:r>
        <w:rPr>
          <w:rStyle w:val="CharStyle11"/>
          <w:lang w:val="en-US" w:eastAsia="en-US"/>
        </w:rPr>
        <w:t xml:space="preserve">21.05.2026 </w:t>
      </w:r>
      <w:r>
        <w:rPr>
          <w:rStyle w:val="CharStyle11"/>
        </w:rPr>
        <w:t xml:space="preserve">исполнить настоящее предписание и представить в Томское УФАС России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11"/>
          <w:lang w:val="en-US" w:eastAsia="en-US"/>
        </w:rPr>
        <w:t>to70@fas.gov.ru</w:t>
      </w:r>
      <w:r>
        <w:fldChar w:fldCharType="end"/>
      </w:r>
      <w:r>
        <w:rPr>
          <w:rStyle w:val="CharStyle11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4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right"/>
      </w:pPr>
      <w:r>
        <w:rPr>
          <w:rStyle w:val="CharStyle11"/>
        </w:rPr>
        <w:t>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right"/>
      </w:pPr>
      <w:r>
        <w:rPr>
          <w:rStyle w:val="CharStyle11"/>
        </w:rPr>
        <w:t>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К</w:t>
      </w:r>
    </w:p>
    <w:sectPr>
      <w:headerReference w:type="default" r:id="rId8"/>
      <w:footerReference w:type="default" r:id="rId9"/>
      <w:footnotePr>
        <w:pos w:val="pageBottom"/>
        <w:numFmt w:val="decimal"/>
        <w:numRestart w:val="continuous"/>
      </w:footnotePr>
      <w:pgSz w:w="11900" w:h="16840"/>
      <w:pgMar w:top="1690" w:right="539" w:bottom="1431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44525" cy="1054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52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2026-3053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75.95000000000005pt;width:50.75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2026-3053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10013315</wp:posOffset>
              </wp:positionV>
              <wp:extent cx="64325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2026-3053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00000000000001pt;margin-top:788.45000000000005pt;width:50.64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2026-3053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5000000000002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 w:line="252" w:lineRule="auto"/>
      <w:ind w:left="20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6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- 2026-05-07T174656.581.odt</dc:title><dc:subject></dc:subject><dc:creator>&#x1c;0:0@5=:&gt; &#x14;5=8A &#x10;;5:A0=4@&gt;28G</dc:creator><cp:keywords></cp:keywords>
</cp:coreProperties>
</file>