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/>
        <w:ind w:left="0" w:right="0" w:firstLine="0"/>
        <w:jc w:val="both"/>
      </w:pPr>
      <w:r>
        <w:rPr>
          <w:rStyle w:val="CharStyle9"/>
        </w:rPr>
        <w:tab/>
        <w:t xml:space="preserve"> №</w:t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1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13"/>
        </w:rPr>
        <w:t xml:space="preserve">ООО «Региональные системы контроля» пер. Большой Тишинский, д. 26, к. 13-14, помещ. 2/1, г. Москва, 123557 </w:t>
      </w:r>
      <w:r>
        <w:fldChar w:fldCharType="begin"/>
      </w:r>
      <w:r>
        <w:rPr/>
        <w:instrText> HYPERLINK "mailto:reg.system2021@gmail.com" </w:instrText>
      </w:r>
      <w:r>
        <w:fldChar w:fldCharType="separate"/>
      </w:r>
      <w:r>
        <w:rPr>
          <w:rStyle w:val="CharStyle13"/>
          <w:lang w:val="en-US" w:eastAsia="en-US"/>
        </w:rPr>
        <w:t>reg.system2021@gmail.com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КГКУ «Управление автомобильных дорог по Красноярскому краю»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13"/>
        </w:rPr>
        <w:t xml:space="preserve">ул. Робеспьера, 7, г. Красноярск, 660021 </w:t>
      </w:r>
      <w:r>
        <w:fldChar w:fldCharType="begin"/>
      </w:r>
      <w:r>
        <w:rPr/>
        <w:instrText> HYPERLINK "mailto:info@krudor.ru" </w:instrText>
      </w:r>
      <w:r>
        <w:fldChar w:fldCharType="separate"/>
      </w:r>
      <w:r>
        <w:rPr>
          <w:rStyle w:val="CharStyle13"/>
          <w:lang w:val="en-US" w:eastAsia="en-US"/>
        </w:rPr>
        <w:t>info@krudor.ru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Агентство государственного заказа Красноярского края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13"/>
        </w:rPr>
        <w:t xml:space="preserve">пр-кт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3"/>
          <w:lang w:val="en-US" w:eastAsia="en-US"/>
        </w:rPr>
        <w:t>agz_priem@mail.ru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ЭТП ТЭК-Торг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719" w:bottom="1212" w:left="1135" w:header="0" w:footer="3" w:gutter="0"/>
          <w:pgNumType w:start="1"/>
          <w:cols w:num="2" w:space="720" w:equalWidth="0">
            <w:col w:w="4099" w:space="1166"/>
            <w:col w:w="4781"/>
          </w:cols>
          <w:noEndnote/>
          <w:titlePg/>
          <w:rtlGutter w:val="0"/>
          <w:docGrid w:linePitch="360"/>
        </w:sectPr>
      </w:pPr>
      <w:r>
        <w:rPr>
          <w:rStyle w:val="CharStyle13"/>
        </w:rPr>
        <w:t xml:space="preserve">ул. Тимура Фрунзе, д. 24, г. Москва, 119034 </w:t>
      </w:r>
      <w:r>
        <w:fldChar w:fldCharType="begin"/>
      </w:r>
      <w:r>
        <w:rPr/>
        <w:instrText> HYPERLINK "mailto:help@tektorg.ru" </w:instrText>
      </w:r>
      <w:r>
        <w:fldChar w:fldCharType="separate"/>
      </w:r>
      <w:r>
        <w:rPr>
          <w:rStyle w:val="CharStyle13"/>
          <w:lang w:val="en-US" w:eastAsia="en-US"/>
        </w:rPr>
        <w:t>help@tektorg.ru</w:t>
      </w:r>
      <w:r>
        <w:fldChar w:fldCharType="end"/>
      </w:r>
    </w:p>
    <w:p>
      <w:pPr>
        <w:widowControl w:val="0"/>
        <w:spacing w:before="94" w:after="9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1" w:right="0" w:bottom="11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3"/>
        </w:rPr>
        <w:t>Решение № 024/06/105-1450/2026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6374765</wp:posOffset>
                </wp:positionH>
                <wp:positionV relativeFrom="paragraph">
                  <wp:posOffset>12700</wp:posOffset>
                </wp:positionV>
                <wp:extent cx="835025" cy="20129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1.94999999999999pt;margin-top:1.pt;width:65.75pt;height:15.8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7 мая 2026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Комиссия Красноярского УФАС России по рассмотрению жалоб и проведению внеплановых проверок в составе: Председатель Комиссии – Хорышев Е.О., врио заместителя руководителя; члены Комиссии: Миракян Н.Е., ведущий специалист-эксперт; Пелевина Д.Н., ведущий специалист-эксперт (далее – Комиссия), рассмотрев жалобу ООО «Региональные системы контроля» (далее – Податель жалобы) на действия заказчика – КГКУ «Управление автомобильных дорог по Красноярскому краю» (далее – Заказчик), уполномоченного органа — Агентства государственного заказа Красноярского края (далее — Уполномоченный орган) при проведении открытого конкурса в электронной форме ОК-№-7025/26 «Организация и выполнение всего комплекса работ на разработку проектной документации по приобретению и установке автоматического пункта весового и габаритного контроля транспортных средств в целях дооснащения автомобильной дороги Мотыгино – Раздолинск в Мотыгинском муниципальном округе Красноярского края» (далее – конкурс), извещение № 0119200000126006603, ИКЗ 262246001772024600100100830017112244, на электронной торговой площадке «ТЭК-Торг» (далее – оператор электронной площадки),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Существо жалобы: неправомерные действия Заказчика при формировании извещения о проведении открытого конкурса в электронной форме, нарушающие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Жалоба соответствует требованиям частей 2 и 4 статьи 105 Закона о контрактной системе, в связи с чем принята к рассмотрению по существу.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В адреса Подателя жалобы, Заказчика, Уполномоченного органа, Оператора ЭП посредством электронной почты было направлено уведомление содержащее информацию о месте, дате и времени заседания Комиссии.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Уведомление также было размещено на официальном сайте ЕИС в сфере закупок в разделе «жалобы» реестра жалоб, плановых и внеплановых проверок, их результатов и выданных предписаний, что считается надлежащим уведомлением о дате и времени заседания Комиссии.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rStyle w:val="CharStyle13"/>
        </w:rPr>
        <w:t>Уведомлением, направленным Подателю жалобы, Заказчику, Уполномоченному органу, Оператору ЭП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5"/>
        </w:rPr>
        <w:t>IIIIIIIIIIIIIIIIIIIIIIII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До начала заседания в адрес Комиссии ходатайств не поступало.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Заседание Комиссии состоялось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мая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 xml:space="preserve">года в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часов </w:t>
      </w:r>
      <w:r>
        <w:rPr>
          <w:rStyle w:val="CharStyle13"/>
          <w:lang w:val="en-US" w:eastAsia="en-US"/>
        </w:rPr>
        <w:t xml:space="preserve">30 </w:t>
      </w:r>
      <w:r>
        <w:rPr>
          <w:rStyle w:val="CharStyle13"/>
        </w:rPr>
        <w:t xml:space="preserve">минут </w:t>
      </w:r>
      <w:r>
        <w:rPr>
          <w:rStyle w:val="CharStyle13"/>
          <w:lang w:val="en-US" w:eastAsia="en-US"/>
        </w:rPr>
        <w:t xml:space="preserve">(UTC + 7; </w:t>
      </w:r>
      <w:r>
        <w:rPr>
          <w:rStyle w:val="CharStyle13"/>
        </w:rPr>
        <w:t xml:space="preserve">МСК </w:t>
      </w:r>
      <w:r>
        <w:rPr>
          <w:rStyle w:val="CharStyle13"/>
          <w:lang w:val="en-US" w:eastAsia="en-US"/>
        </w:rPr>
        <w:t xml:space="preserve">+4) </w:t>
      </w:r>
      <w:r>
        <w:rPr>
          <w:rStyle w:val="CharStyle13"/>
        </w:rPr>
        <w:t>в присутствии представителя Заказчика и представителя Уполномоченного органа, надлежащим образом подтвердивших свои личности и полномочия. Податель жалобы, надлежащим образом уведомленный о времени и месте рассмотрения жалобы, явку своего представителя не обеспечил.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содержании жалобы указано, что Заказчиком не установлено требование к участникам закупки о наличии членства в саморегулируемой организации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СРО). Однако при подаче заявки на участие в конкурсе на площадке требуется заполнить форму о наличии СРО у участника закупки, таким образом, по мнению Подателя жалобы, Заказчик ограничивает участие в закупке заинтересованных лиц.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Комиссия, во исполнение полномочий, возложенных подпунктом «б»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Закона о контрактной системе, а также подпунктом </w:t>
      </w:r>
      <w:r>
        <w:rPr>
          <w:rStyle w:val="CharStyle13"/>
          <w:lang w:val="en-US" w:eastAsia="en-US"/>
        </w:rPr>
        <w:t xml:space="preserve">5.3.7 </w:t>
      </w:r>
      <w:r>
        <w:rPr>
          <w:rStyle w:val="CharStyle13"/>
        </w:rPr>
        <w:t xml:space="preserve">Положения о Федеральной антимонопольной службе и подпунктом </w:t>
      </w:r>
      <w:r>
        <w:rPr>
          <w:rStyle w:val="CharStyle13"/>
          <w:lang w:val="en-US" w:eastAsia="en-US"/>
        </w:rPr>
        <w:t xml:space="preserve">7.5 </w:t>
      </w:r>
      <w:r>
        <w:rPr>
          <w:rStyle w:val="CharStyle13"/>
        </w:rPr>
        <w:t>Положения о территориальном органе ФАС России, в соответствии с Правилам осуществления контроля в сфере закупок,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Рассмотрев существо жалобы, документы и сведения, представленные сторонами и размещенные на официальном сайте ЕИС в сфере закупок, проанализировав нормы права, регулирующие рассматриваемые правоотношения, проведя внеплановую проверку, Комиссия установила следующие обстоятельства.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связи с возникшей потребностью у Заказчика Уполномоченным органом были совершены действия по проведению закупки ОК-№-7025/26 «Организация и выполнение всего комплекса работ на разработку проектной документации по приобретению и установке автоматического пункта весового и габаритного контроля транспортных средств в целях дооснащения автомобильной дороги Мотыгино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Раздолинск в Мотыгинском муниципальном округе Красноярского края».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Извещение о проведении электронного конкурса на право заключения контракта на организацию и выполнение всего комплекса работ на разработку проектной документации по приобретению и установке автоматического пункта весового и габаритного контроля транспортных средств в целях дооснащения автомобильной дороги Мотыгино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Раздолинск в Мотыгинском муниципальном округе Красноярского края размещено в ЕИС </w:t>
      </w:r>
      <w:r>
        <w:rPr>
          <w:rStyle w:val="CharStyle13"/>
          <w:lang w:val="en-US" w:eastAsia="en-US"/>
        </w:rPr>
        <w:t>15.04.2026.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силу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контактной системе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следующую информацию: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наименование объекта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Объектом закупки является организация и выполнение всего комплекса работ на разработку проектной документации по приобретению и установке автоматического пункта весового и габаритного контроля транспортных средств в целях дооснащения автомобильной дороги Мотыгино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Раздолинск в Мотыгинском муниципальном округе Красноярского края.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письменных пояснениях Заказчика и Уполномоченного органа указано, что закупка не относится к объектам архитектурно-строительного проектирования, а является текущим содержанием автомобильной дороги в связи с чем требования к наличию СРО не устанавливаются. Заказчиком указанное требование установлено не было.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Градостроительного кодекса Российской Федерации работы по договорам должны выполняться только индивидуальными предпринимателями или юридическими лицами, которые являются членами СРО в области архитектурно-строительного проектирования.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52 </w:t>
      </w:r>
      <w:r>
        <w:rPr>
          <w:rStyle w:val="CharStyle13"/>
        </w:rPr>
        <w:t>Градостроительного кодекса Российской Федерации работы по договорам о строительстве, реконструкции, капитальном ремонте объектов капитального строительства,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заключенным с застройщиком, техническим заказчиком, лицом, ответственным за эксплуатацию здания, сооружения, региональным оператором (далее также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строительства, если иное не установлено.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подпункту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пункта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IV </w:t>
      </w:r>
      <w:r>
        <w:rPr>
          <w:rStyle w:val="CharStyle13"/>
        </w:rPr>
        <w:t xml:space="preserve">Приказа Минтранса РФ от </w:t>
      </w:r>
      <w:r>
        <w:rPr>
          <w:rStyle w:val="CharStyle13"/>
          <w:lang w:val="en-US" w:eastAsia="en-US"/>
        </w:rPr>
        <w:t xml:space="preserve">16.11.2012 № 402 </w:t>
      </w:r>
      <w:r>
        <w:rPr>
          <w:rStyle w:val="CharStyle13"/>
        </w:rPr>
        <w:t>«Об утверждении Классификации работ по капитальному ремонту, ремонту и содержанию автомобильных дорог» в состав мероприятий по содержанию входят работы по установке автоматических пунктов весового и габаритного контроля транспортных средств (в том числе отдельных элементов).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Таким образом, поскольку объектом закупки является выполнение работ по текущему ремонту и содержанию, Заказчик правомерно не установил требования о наличии участника членства в СРО.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Относительно указания Подателем жалобы на отсутствие технической возможности подачи заявки на участие в закупке без указания сведений о членстве в СРО Комиссия отмечает следующее. Исследовав заявки участников, представленных в адрес Комиссии Уполномоченным органом, оператором электронной площадки, Комиссия установила, что на участие в обжалуемой закупке подано три заявки без указания наличия членства СРО, следовательно, техническая возможность подачи заявки без указания информации о членстве в СРО у участников имелась.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Таким образом, на основании вышеизложенного, Комиссия пришла к выводу об отсутствии нарушений в действиях субъектов контроля норм действующего законодательства о контрактной системе при формировании положений извещения о проведении закупки, доводы Подателя жалобы не нашли своего подтверждения и признаны комиссией несостоятельными.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вышеизложенных обстоятельств, в результате рассмотрения жалобы по существу и проведения внеплановой проверки, руководствуясь частями </w:t>
      </w:r>
      <w:r>
        <w:rPr>
          <w:rStyle w:val="CharStyle13"/>
          <w:lang w:val="en-US" w:eastAsia="en-US"/>
        </w:rPr>
        <w:t xml:space="preserve">3, 8, 15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99, </w:t>
      </w: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Комиссия Красноярского УФАС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3"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Признать жалобу ООО «Региональные системы контроля»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20"/>
        <w:jc w:val="both"/>
      </w:pPr>
      <w:r>
        <w:rPr>
          <w:rStyle w:val="CharStyle13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481330" distL="114300" distR="114300" simplePos="0" relativeHeight="125829380" behindDoc="0" locked="0" layoutInCell="1" allowOverlap="1">
                <wp:simplePos x="0" y="0"/>
                <wp:positionH relativeFrom="page">
                  <wp:posOffset>6330315</wp:posOffset>
                </wp:positionH>
                <wp:positionV relativeFrom="paragraph">
                  <wp:posOffset>12700</wp:posOffset>
                </wp:positionV>
                <wp:extent cx="880745" cy="20129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Е.О. Хорышев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8.44999999999999pt;margin-top:1.pt;width:69.350000000000009pt;height:15.85pt;z-index:-125829373;mso-wrap-distance-left:9.pt;mso-wrap-distance-right:9.pt;mso-wrap-distance-bottom:37.89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Е.О. Хорышев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0" distL="114300" distR="135255" simplePos="0" relativeHeight="125829382" behindDoc="0" locked="0" layoutInCell="1" allowOverlap="1">
                <wp:simplePos x="0" y="0"/>
                <wp:positionH relativeFrom="page">
                  <wp:posOffset>6330315</wp:posOffset>
                </wp:positionH>
                <wp:positionV relativeFrom="paragraph">
                  <wp:posOffset>494030</wp:posOffset>
                </wp:positionV>
                <wp:extent cx="859790" cy="20129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Н.Е. Миракян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8.44999999999999pt;margin-top:38.899999999999999pt;width:67.700000000000003pt;height:15.85pt;z-index:-125829371;mso-wrap-distance-left:9.pt;mso-wrap-distance-top:37.899999999999999pt;mso-wrap-distance-right:10.6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Н.Е. Миракян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0" w:line="240" w:lineRule="auto"/>
        <w:ind w:left="0" w:right="0" w:firstLine="0"/>
        <w:jc w:val="right"/>
      </w:pPr>
      <w:r>
        <w:rPr>
          <w:rStyle w:val="CharStyle13"/>
        </w:rPr>
        <w:t>Д.Н. Пелевина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color w:val="000000"/>
        </w:rPr>
        <w:t>Исп.Миракян Н.Е.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rStyle w:val="CharStyle6"/>
          <w:color w:val="000000"/>
        </w:rPr>
        <w:t>тел.2110144, вн.024-134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1" w:right="539" w:bottom="1191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10041890</wp:posOffset>
              </wp:positionV>
              <wp:extent cx="326453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453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2026-7098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90.70000000000005pt;width:257.05000000000001pt;height:9.8499999999999996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2026-7098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849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2026-7098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95000000000005pt;width:51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2026-7098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40"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spacing w:after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