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810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3069590</wp:posOffset>
            </wp:positionV>
            <wp:extent cx="219710" cy="21336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пр. Ворошиловский, 2/2, офис 403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rStyle w:val="CharStyle3"/>
        </w:rPr>
        <w:t>г. Ростов-на-Дону, 344006</w:t>
        <w:br/>
        <w:t>тел. (863) 263-31-04, факс (863) 240-99-59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3"/>
          <w:lang w:val="en-US" w:eastAsia="en-US"/>
        </w:rPr>
        <w:t>to61@fas.gov.ru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219710" cy="21971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9710" cy="2197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ООО «МИОКАРДИУМ» (далее – Заявитель)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2"/>
        </w:rPr>
        <w:t xml:space="preserve">ул. 1-я Вокзальная, д. 8, помещ. 2, г. Мытищи, Московская обл., 141001 </w:t>
      </w:r>
      <w:r>
        <w:rPr>
          <w:rStyle w:val="CharStyle12"/>
          <w:lang w:val="en-US" w:eastAsia="en-US"/>
        </w:rPr>
        <w:t xml:space="preserve">Email: </w:t>
      </w:r>
      <w:r>
        <w:fldChar w:fldCharType="begin"/>
      </w:r>
      <w:r>
        <w:rPr/>
        <w:instrText> HYPERLINK "mailto:myocardium.tender@mail.ru"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myocardium.tender@ 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ФГБОУ ВО «Ростовский государственный медицинский университет» Министерства здравоохранения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Российской Федерации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(далее – Заказчик)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2"/>
        </w:rPr>
        <w:t xml:space="preserve">пер. Нахичеванский, зд. 29, г. Ростов-на-Дону, 344022 </w:t>
      </w:r>
      <w:r>
        <w:rPr>
          <w:rStyle w:val="CharStyle12"/>
          <w:lang w:val="en-US" w:eastAsia="en-US"/>
        </w:rPr>
        <w:t>Email:</w:t>
      </w:r>
      <w:r>
        <w:fldChar w:fldCharType="begin"/>
      </w:r>
      <w:r>
        <w:rPr/>
        <w:instrText> HYPERLINK "mailto:ks@rostgmu.ru" </w:instrText>
      </w:r>
      <w:r>
        <w:fldChar w:fldCharType="separate"/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  <w:color w:val="000080"/>
          <w:u w:val="single"/>
          <w:lang w:val="en-US" w:eastAsia="en-US"/>
        </w:rPr>
        <w:t>ks@ rostgmu.ru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ООО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(далее – Оператор электронной площадки)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79" w:right="1689" w:bottom="1217" w:left="1135" w:header="0" w:footer="3" w:gutter="0"/>
          <w:pgNumType w:start="1"/>
          <w:cols w:num="2" w:space="1167"/>
          <w:noEndnote/>
          <w:titlePg/>
          <w:rtlGutter w:val="0"/>
          <w:docGrid w:linePitch="360"/>
        </w:sectPr>
      </w:pPr>
      <w:r>
        <w:rPr>
          <w:rStyle w:val="CharStyle12"/>
          <w:lang w:val="en-US" w:eastAsia="en-US"/>
        </w:rPr>
        <w:t>Email: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  <w:color w:val="000080"/>
          <w:u w:val="single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6" w:right="0" w:bottom="118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по результатам рассмотрения дела</w:t>
        <w:br/>
        <w:t>№061/06/105-1511/2026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697865" cy="219710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12.05.2026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pt;margin-top:1.pt;width:54.950000000000003pt;height:17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12.05.2026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</w:rPr>
        <w:t>г. Ростов-на-Дону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Председатель Комиссии:</w:t>
        <w:tab/>
        <w:t>С.В. Батурин,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59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Члены Комиссии:</w:t>
        <w:tab/>
        <w:t>В.Д. Кириленко,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С.В. Панченко,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60"/>
        <w:jc w:val="both"/>
      </w:pPr>
      <w:r>
        <w:rPr>
          <w:rStyle w:val="CharStyle12"/>
        </w:rPr>
        <w:t>рассмотрев дело №061/06/105-1511/2026 по жалобе ООО «МИОКАРДИУМ» о нарушении ФГБОУ ВО «Ростовский государственный медицинский университет» Министерства здравоохранения Российской Федерации при проведении электронного аукциона №0358100022826000130 «Поставка расходных материалов (Стент для коронарных артерий).» (далее —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видеоконференц-связи (ВКС) в присутствии представителя Заказчика – Фетюкова В.А. (доверенность от 14.01.2026), представителя Заявителя – Щепина А.А. (доверенность от 05.05.2026),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60"/>
        <w:jc w:val="both"/>
      </w:pPr>
      <w:r>
        <w:rPr>
          <w:rStyle w:val="CharStyle12"/>
        </w:rPr>
        <w:t>В Ростовское УФАС России поступила жалоба Заявителя на действия ФГБОУ ВО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9"/>
        </w:rPr>
        <w:t>1IIIIIIIIIIIIIIIIIIIIIII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«Ростовский государственный медицинский университет» Министерства здравоохранения Российской Федерации. Заказчик в возражениях на жалобу: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отрицал нарушение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представил пояснения по доводам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ч.ч.1,3 ст.99 Закона в ходе рассмотрения дела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2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2"/>
          <w:lang w:val="en-US" w:eastAsia="en-US"/>
        </w:rPr>
        <w:t xml:space="preserve"> 20.04.2026 </w:t>
      </w:r>
      <w:r>
        <w:rPr>
          <w:rStyle w:val="CharStyle12"/>
        </w:rPr>
        <w:t xml:space="preserve">размещено извещение о проведении закупки </w:t>
      </w:r>
      <w:r>
        <w:rPr>
          <w:rStyle w:val="CharStyle12"/>
          <w:lang w:val="en-US" w:eastAsia="en-US"/>
        </w:rPr>
        <w:t xml:space="preserve">№0358100022826000130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Извещение), </w:t>
      </w:r>
      <w:r>
        <w:rPr>
          <w:rStyle w:val="CharStyle12"/>
          <w:lang w:val="en-US" w:eastAsia="en-US"/>
        </w:rPr>
        <w:t xml:space="preserve">21.04.2026, 24.04.2026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25.04.2026 </w:t>
      </w:r>
      <w:r>
        <w:rPr>
          <w:rStyle w:val="CharStyle12"/>
        </w:rPr>
        <w:t>внесены изменения, согласно которому: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установлены дата и время окончания подачи заявок </w:t>
      </w:r>
      <w:r>
        <w:rPr>
          <w:rStyle w:val="CharStyle12"/>
          <w:lang w:val="en-US" w:eastAsia="en-US"/>
        </w:rPr>
        <w:t xml:space="preserve">– 04.05.2026 09:00 </w:t>
      </w:r>
      <w:r>
        <w:rPr>
          <w:rStyle w:val="CharStyle12"/>
        </w:rPr>
        <w:t>(МСК);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(НМЦК) составила </w:t>
      </w:r>
      <w:r>
        <w:rPr>
          <w:rStyle w:val="CharStyle12"/>
          <w:lang w:val="en-US" w:eastAsia="en-US"/>
        </w:rPr>
        <w:t xml:space="preserve">24 425 400,00 </w:t>
      </w:r>
      <w:r>
        <w:rPr>
          <w:rStyle w:val="CharStyle12"/>
        </w:rPr>
        <w:t>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Заявителем в Ростовское УФАС России </w:t>
      </w:r>
      <w:r>
        <w:rPr>
          <w:rStyle w:val="CharStyle12"/>
          <w:lang w:val="en-US" w:eastAsia="en-US"/>
        </w:rPr>
        <w:t xml:space="preserve">07.05.2026 </w:t>
      </w:r>
      <w:r>
        <w:rPr>
          <w:rStyle w:val="CharStyle12"/>
        </w:rPr>
        <w:t xml:space="preserve">направлено ходатайство об отложении рассмотрения жалобы с целью подготовки ООО «МИОКАРДИУМ» дополнительных пояснений, запрошенных Ростовским УФАС России в уведомлении №СБ/6578/26 от </w:t>
      </w:r>
      <w:r>
        <w:rPr>
          <w:rStyle w:val="CharStyle12"/>
          <w:lang w:val="en-US" w:eastAsia="en-US"/>
        </w:rPr>
        <w:t>06.05.2026.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п.п. «г» п.30 Правил руководитель комиссии (инспекции) по проведению внеплановой проверки либо в отсутствие руководителя член комиссии (инспекции), исполняющий его обязанности: обеспечивает рассмотрение заявлений и ходатайств лиц, участвующих в заседании комиссии (инспекции).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силу. п.31 Правил по ходатайству лиц, участвующих в проведении внеплановой проверки, либо по инициативе комиссии (инспекции) по проведению внеплановой проверки, в том числе для выяснения обстоятельств, имеющих значение для принятия решения по результатам внеплановой проверки, в заседании комиссии (инспекции) может быть объявлен перерыв, а также указаны место, дата и время проведения внеплановой проверки после перерыва.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Поскольку запрошенная у Заявителя информация имеет значение для принятия решения по результатам рассмотрения жалобы, заявленное ООО «МИОКАРДИУМ» ходатайство удовлетворено, уведомлением №СБ/6806/26 от </w:t>
      </w:r>
      <w:r>
        <w:rPr>
          <w:rStyle w:val="CharStyle12"/>
          <w:lang w:val="en-US" w:eastAsia="en-US"/>
        </w:rPr>
        <w:t xml:space="preserve">08.05.2026 </w:t>
      </w:r>
      <w:r>
        <w:rPr>
          <w:rStyle w:val="CharStyle12"/>
        </w:rPr>
        <w:t xml:space="preserve">рассмотрение жалобы Заявителя отложено на </w:t>
      </w:r>
      <w:r>
        <w:rPr>
          <w:rStyle w:val="CharStyle12"/>
          <w:lang w:val="en-US" w:eastAsia="en-US"/>
        </w:rPr>
        <w:t xml:space="preserve">12.05.2026 </w:t>
      </w:r>
      <w:r>
        <w:rPr>
          <w:rStyle w:val="CharStyle12"/>
        </w:rPr>
        <w:t xml:space="preserve">в </w:t>
      </w:r>
      <w:r>
        <w:rPr>
          <w:rStyle w:val="CharStyle12"/>
          <w:lang w:val="en-US" w:eastAsia="en-US"/>
        </w:rPr>
        <w:t>12:00.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доводу жалобы, Заказчиком в нарушение ст.14 Закона по ряду закупаемых товаров установлено ограничение закупок товаров, происходящих из иностранных государств, поскольку данные медицинские изделия не включены в приложение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Правительства от </w:t>
      </w:r>
      <w:r>
        <w:rPr>
          <w:rStyle w:val="CharStyle12"/>
          <w:lang w:val="en-US" w:eastAsia="en-US"/>
        </w:rPr>
        <w:t>23.12.2024 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п.1 ч.2 ст.42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действительной необходимости в установлении таких требований).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Описание объекта закупки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 Такая фиксация требований заказчика позволяет идентифицировать объект закупки, установить результат, достижение которого признается со стороны заказчика должным исполнением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ч.1 ст.14 Закона,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товару, работе, услуге, соответственно выполняемой, оказываемой иностранным гражданином или иностранным юридическим лицом,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лицом, за исключением случаев принятия Правительством Российской Федерации мер, предусмотренных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п.1 ч.2 ст.14 Закона, Правительство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вправе с учетом положений 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настоящей статьи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ч.3 ст.14 Закона, принятие Правительством Российской Федерации мер, предусмотренных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настоящей статьи,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Во исполнение указанных норм Закона Правительством РФ принято Постановление Правительства РФ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№1875).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Подпунктом в) п.4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установлено: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 включенным в объект закупки товарам, работам, услугам, указанным в приложении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настоящему постановлению, применяются положения настоящего постановления, касающиеся ограничения, указанного в пункте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постановления;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 включенным в объект закупки товарам, не указанным в приложении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настоящему постановлению и приложении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настоящему постановлению, применяются положения настоящего постановления, касающиеся преимущества, указанного в пункте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постановления.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Обозрев Извещение, Комиссией Ростовского России установлено, что объектом закупки является поставка продукции медицинского назначения, например </w:t>
      </w:r>
      <w:r>
        <w:rPr>
          <w:rStyle w:val="CharStyle12"/>
          <w:i/>
          <w:iCs/>
          <w:u w:val="single"/>
        </w:rPr>
        <w:t>(перечень не является исчерпывающим)</w:t>
      </w:r>
      <w:r>
        <w:rPr>
          <w:rStyle w:val="CharStyle12"/>
        </w:rPr>
        <w:t>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5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 xml:space="preserve">«Катетер баллонный для коронарной ангиопластики, стандартный» (код ОКПД2 </w:t>
      </w:r>
      <w:r>
        <w:rPr>
          <w:rStyle w:val="CharStyle12"/>
          <w:lang w:val="en-US" w:eastAsia="en-US"/>
        </w:rPr>
        <w:t xml:space="preserve">32.50.13.110, </w:t>
      </w:r>
      <w:r>
        <w:rPr>
          <w:rStyle w:val="CharStyle12"/>
        </w:rPr>
        <w:t xml:space="preserve">код КТРУ </w:t>
      </w:r>
      <w:r>
        <w:rPr>
          <w:rStyle w:val="CharStyle12"/>
          <w:lang w:val="en-US" w:eastAsia="en-US"/>
        </w:rPr>
        <w:t>32.50.13.110-00140);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5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</w:rPr>
        <w:t xml:space="preserve">«Стент для коронарных артерий, выделяющий лекарственное средство» (код ОКПД2 </w:t>
      </w:r>
      <w:r>
        <w:rPr>
          <w:rStyle w:val="CharStyle12"/>
          <w:lang w:val="en-US" w:eastAsia="en-US"/>
        </w:rPr>
        <w:t xml:space="preserve">32.50.13.190, </w:t>
      </w:r>
      <w:r>
        <w:rPr>
          <w:rStyle w:val="CharStyle12"/>
        </w:rPr>
        <w:t xml:space="preserve">код КТРУ </w:t>
      </w:r>
      <w:r>
        <w:rPr>
          <w:rStyle w:val="CharStyle12"/>
          <w:lang w:val="en-US" w:eastAsia="en-US"/>
        </w:rPr>
        <w:t xml:space="preserve">32.50.13.190-02615) </w:t>
      </w:r>
      <w:r>
        <w:rPr>
          <w:rStyle w:val="CharStyle12"/>
        </w:rPr>
        <w:t>и пр.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Заказчиком в Извещении установлено ограничение закупок товаров, происходящих из иностранных государств, выполняемых работ, оказываемых услуг иностранными лицами, ко всем закупаемым товарам.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</w:rPr>
        <w:t xml:space="preserve">Заявитель полагает, что данные товары не относятся к позиции </w:t>
      </w:r>
      <w:r>
        <w:rPr>
          <w:rStyle w:val="CharStyle23"/>
          <w:lang w:val="en-US" w:eastAsia="en-US"/>
        </w:rPr>
        <w:t xml:space="preserve">388 </w:t>
      </w:r>
      <w:r>
        <w:rPr>
          <w:rStyle w:val="CharStyle23"/>
        </w:rPr>
        <w:t xml:space="preserve">приложения </w:t>
      </w:r>
      <w:r>
        <w:rPr>
          <w:rStyle w:val="CharStyle23"/>
          <w:lang w:val="en-US" w:eastAsia="en-US"/>
        </w:rPr>
        <w:t xml:space="preserve">№2 </w:t>
      </w:r>
      <w:r>
        <w:rPr>
          <w:rStyle w:val="CharStyle23"/>
        </w:rPr>
        <w:t xml:space="preserve">к Постановлению </w:t>
      </w:r>
      <w:r>
        <w:rPr>
          <w:rStyle w:val="CharStyle23"/>
          <w:lang w:val="en-US" w:eastAsia="en-US"/>
        </w:rPr>
        <w:t xml:space="preserve">№1875, </w:t>
      </w:r>
      <w:r>
        <w:rPr>
          <w:rStyle w:val="CharStyle23"/>
        </w:rPr>
        <w:t>которая предусматривает следующие виды товаров и ОКПД2:</w:t>
      </w:r>
    </w:p>
    <w:tbl>
      <w:tblPr>
        <w:tblOverlap w:val="never"/>
        <w:jc w:val="center"/>
        <w:tblLayout w:type="fixed"/>
      </w:tblPr>
      <w:tblGrid>
        <w:gridCol w:w="581"/>
        <w:gridCol w:w="8266"/>
        <w:gridCol w:w="1363"/>
      </w:tblGrid>
      <w:tr>
        <w:trPr>
          <w:trHeight w:val="147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rStyle w:val="CharStyle25"/>
                <w:lang w:val="en-US" w:eastAsia="en-US"/>
              </w:rPr>
              <w:t>388.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Боры зубные твердосплавные; головки стоматологические алмазные, в том числе фасонные; емкости для взятия, хранения и транспортировки биологических проб для выполнения клинических лабораторных исследований, а именно пробирки для взятия капиллярной крови, емкости для мочи, кала и мокроты; зеркала гинекологические полимерные по Куско; зонды урогенитальные; иглодержатели микрохирургические; инструменты вспомогательные; </w:t>
            </w:r>
            <w:r>
              <w:rPr>
                <w:rStyle w:val="CharStyle25"/>
                <w:u w:val="single"/>
              </w:rPr>
              <w:t>инструменты зондирующие, бужирующие</w:t>
            </w:r>
            <w:r>
              <w:rPr>
                <w:rStyle w:val="CharStyle25"/>
              </w:rPr>
              <w:t>; инструменты многоповерхностного воздействия; инструменты оттесняющие; инструменты режущие и ударные с острой (режущей) кромкой; каналонаполнители; микромоторы пневматические для наконечников стоматологических; модули медицинские климатизированные (чистое помещение); наборы гинекологические смотровые одноразовые стерильные; наконечники для микромоторов; наконечники стоматологические турбинные; ножницы микрохирургические; пинцеты микрохирургические; пульпоэкстракторы; фрезы зуботехнические; иглы корневые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22.29.29.130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22.29.29.190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32.50.11.110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32.50.11.190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32.50.13.110</w:t>
            </w:r>
          </w:p>
        </w:tc>
      </w:tr>
      <w:tr>
        <w:trPr>
          <w:trHeight w:val="13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32.50.13.121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32.50.13.131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32.50.13.132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32.50.13.139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32.50.13.190</w:t>
            </w:r>
          </w:p>
        </w:tc>
      </w:tr>
      <w:tr>
        <w:trPr>
          <w:trHeight w:val="151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32.50.22.140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32.50.50.110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5"/>
                <w:lang w:val="en-US" w:eastAsia="en-US"/>
              </w:rPr>
              <w:t>32.50.50.190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rStyle w:val="CharStyle25"/>
              </w:rPr>
              <w:t xml:space="preserve">Вместе с тем, ГОСТ </w:t>
            </w:r>
            <w:r>
              <w:rPr>
                <w:rStyle w:val="CharStyle25"/>
                <w:lang w:val="en-US" w:eastAsia="en-US"/>
              </w:rPr>
              <w:t xml:space="preserve">25725-89 </w:t>
            </w:r>
            <w:r>
              <w:rPr>
                <w:rStyle w:val="CharStyle25"/>
              </w:rPr>
              <w:t>«Государственный стандарт Союза ССР.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Инструменты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 xml:space="preserve">медицинские. Термины и определения» (далее </w:t>
      </w:r>
      <w:r>
        <w:rPr>
          <w:rStyle w:val="CharStyle23"/>
          <w:lang w:val="en-US" w:eastAsia="en-US"/>
        </w:rPr>
        <w:t xml:space="preserve">– </w:t>
      </w:r>
      <w:r>
        <w:rPr>
          <w:rStyle w:val="CharStyle23"/>
        </w:rPr>
        <w:t xml:space="preserve">ГОСТ </w:t>
      </w:r>
      <w:r>
        <w:rPr>
          <w:rStyle w:val="CharStyle23"/>
          <w:lang w:val="en-US" w:eastAsia="en-US"/>
        </w:rPr>
        <w:t xml:space="preserve">25725-89) </w:t>
      </w:r>
      <w:r>
        <w:rPr>
          <w:rStyle w:val="CharStyle23"/>
        </w:rPr>
        <w:t>установлены следующие виды зондирующего и бужирующего медицинского инструмента: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Медицинский зонд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зондирующий медицинский инструмент с закругленными краями </w:t>
      </w:r>
      <w:r>
        <w:rPr>
          <w:rStyle w:val="CharStyle12"/>
          <w:u w:val="single"/>
        </w:rPr>
        <w:t xml:space="preserve">для определения размеров и направления </w:t>
      </w:r>
      <w:r>
        <w:rPr>
          <w:rStyle w:val="CharStyle12"/>
          <w:b/>
          <w:bCs/>
          <w:u w:val="single"/>
        </w:rPr>
        <w:t>раневого канала</w:t>
      </w:r>
      <w:r>
        <w:rPr>
          <w:rStyle w:val="CharStyle12"/>
          <w:u w:val="single"/>
        </w:rPr>
        <w:t>, наличия</w:t>
      </w:r>
      <w:r>
        <w:rPr>
          <w:rStyle w:val="CharStyle12"/>
        </w:rPr>
        <w:t xml:space="preserve"> в нем </w:t>
      </w:r>
      <w:r>
        <w:rPr>
          <w:rStyle w:val="CharStyle12"/>
          <w:u w:val="single"/>
        </w:rPr>
        <w:t>инородных тел</w:t>
      </w:r>
      <w:r>
        <w:rPr>
          <w:rStyle w:val="CharStyle12"/>
        </w:rPr>
        <w:t xml:space="preserve"> и для </w:t>
      </w:r>
      <w:r>
        <w:rPr>
          <w:rStyle w:val="CharStyle12"/>
          <w:u w:val="single"/>
        </w:rPr>
        <w:t>исследования проходимости органов</w:t>
      </w:r>
      <w:r>
        <w:rPr>
          <w:rStyle w:val="CharStyle12"/>
        </w:rPr>
        <w:t>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Буж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бужирующий медицинский инструмент цилиндрической формы с закругленным прямым или изогнутым рабочим концом, </w:t>
      </w:r>
      <w:r>
        <w:rPr>
          <w:rStyle w:val="CharStyle12"/>
          <w:u w:val="single"/>
        </w:rPr>
        <w:t xml:space="preserve">предназначенный для механического расширения структур </w:t>
      </w:r>
      <w:r>
        <w:rPr>
          <w:rStyle w:val="CharStyle12"/>
          <w:b/>
          <w:bCs/>
          <w:u w:val="single"/>
        </w:rPr>
        <w:t>в уретре</w:t>
      </w:r>
      <w:r>
        <w:rPr>
          <w:rStyle w:val="CharStyle12"/>
          <w:b/>
          <w:bCs/>
        </w:rPr>
        <w:t xml:space="preserve"> </w:t>
      </w:r>
      <w:r>
        <w:rPr>
          <w:rStyle w:val="CharStyle12"/>
        </w:rPr>
        <w:t xml:space="preserve">путем последовательного введения в нее бужей повышающегося калибра, </w:t>
      </w:r>
      <w:r>
        <w:rPr>
          <w:rStyle w:val="CharStyle12"/>
          <w:u w:val="single"/>
        </w:rPr>
        <w:t xml:space="preserve">для тоннелизации </w:t>
      </w:r>
      <w:r>
        <w:rPr>
          <w:rStyle w:val="CharStyle12"/>
          <w:b/>
          <w:bCs/>
          <w:u w:val="single"/>
        </w:rPr>
        <w:t xml:space="preserve">уретры </w:t>
      </w:r>
      <w:r>
        <w:rPr>
          <w:rStyle w:val="CharStyle12"/>
          <w:u w:val="single"/>
        </w:rPr>
        <w:t xml:space="preserve">и для бужирования передней и задней </w:t>
      </w:r>
      <w:r>
        <w:rPr>
          <w:rStyle w:val="CharStyle12"/>
          <w:b/>
          <w:bCs/>
          <w:u w:val="single"/>
        </w:rPr>
        <w:t>уретры</w:t>
      </w:r>
      <w:r>
        <w:rPr>
          <w:rStyle w:val="CharStyle12"/>
          <w:b/>
          <w:bCs/>
        </w:rPr>
        <w:t xml:space="preserve"> </w:t>
      </w:r>
      <w:r>
        <w:rPr>
          <w:rStyle w:val="CharStyle12"/>
          <w:lang w:val="en-US" w:eastAsia="en-US"/>
        </w:rPr>
        <w:t>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Катетер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зондирующий медицинский инструмент с закругленным концом и с отверстиями на противоположных сторонах </w:t>
      </w:r>
      <w:r>
        <w:rPr>
          <w:rStyle w:val="CharStyle12"/>
          <w:u w:val="single"/>
        </w:rPr>
        <w:t xml:space="preserve">для продувания </w:t>
      </w:r>
      <w:r>
        <w:rPr>
          <w:rStyle w:val="CharStyle12"/>
          <w:b/>
          <w:bCs/>
          <w:u w:val="single"/>
        </w:rPr>
        <w:t xml:space="preserve">евстахиевой трубы </w:t>
      </w:r>
      <w:r>
        <w:rPr>
          <w:rStyle w:val="CharStyle12"/>
          <w:u w:val="single"/>
        </w:rPr>
        <w:t>через нос</w:t>
      </w:r>
      <w:r>
        <w:rPr>
          <w:rStyle w:val="CharStyle12"/>
        </w:rPr>
        <w:t xml:space="preserve">, </w:t>
      </w:r>
      <w:r>
        <w:rPr>
          <w:rStyle w:val="CharStyle12"/>
          <w:u w:val="single"/>
        </w:rPr>
        <w:t xml:space="preserve">опорожнения и промывания </w:t>
      </w:r>
      <w:r>
        <w:rPr>
          <w:rStyle w:val="CharStyle12"/>
          <w:b/>
          <w:bCs/>
          <w:u w:val="single"/>
        </w:rPr>
        <w:t xml:space="preserve">мочевого пузыря 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для </w:t>
      </w:r>
      <w:r>
        <w:rPr>
          <w:rStyle w:val="CharStyle12"/>
          <w:u w:val="single"/>
        </w:rPr>
        <w:t>спринцевания и орошения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Установленными Заказчиком кодами КТРУ предусмотрены следующие описания по классификатору: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32.50.13.110-00140: </w:t>
      </w:r>
      <w:r>
        <w:rPr>
          <w:rStyle w:val="CharStyle12"/>
        </w:rPr>
        <w:t xml:space="preserve">Гибкая трубка, разработанная для использования в чрескожной транслюминальной коронарной ангиопластике (ЧТКА) </w:t>
      </w:r>
      <w:r>
        <w:rPr>
          <w:rStyle w:val="CharStyle12"/>
          <w:u w:val="single"/>
        </w:rPr>
        <w:t xml:space="preserve">для расширения стенозированной </w:t>
      </w:r>
      <w:r>
        <w:rPr>
          <w:rStyle w:val="CharStyle12"/>
          <w:b/>
          <w:bCs/>
          <w:u w:val="single"/>
        </w:rPr>
        <w:t>коронарной артерии</w:t>
      </w:r>
      <w:r>
        <w:rPr>
          <w:rStyle w:val="CharStyle12"/>
          <w:b/>
          <w:bCs/>
        </w:rPr>
        <w:t xml:space="preserve"> </w:t>
      </w:r>
      <w:r>
        <w:rPr>
          <w:rStyle w:val="CharStyle12"/>
        </w:rPr>
        <w:t xml:space="preserve">путем контролируемого надувания эластичного баллона (баллонов) на дистальном конце. Как правило, доступны изделия в двух исполнениях: </w:t>
      </w:r>
      <w:r>
        <w:rPr>
          <w:rStyle w:val="CharStyle12"/>
          <w:lang w:val="en-US" w:eastAsia="en-US"/>
        </w:rPr>
        <w:t xml:space="preserve">1) </w:t>
      </w:r>
      <w:r>
        <w:rPr>
          <w:rStyle w:val="CharStyle12"/>
        </w:rPr>
        <w:t xml:space="preserve">модель для доставки по проводнику с двумя или тремя просветами, один из которых для проводника, а один или два оставшихся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для надувания одного или двух баллонов; и </w:t>
      </w:r>
      <w:r>
        <w:rPr>
          <w:rStyle w:val="CharStyle12"/>
          <w:lang w:val="en-US" w:eastAsia="en-US"/>
        </w:rPr>
        <w:t xml:space="preserve">2) </w:t>
      </w:r>
      <w:r>
        <w:rPr>
          <w:rStyle w:val="CharStyle12"/>
        </w:rPr>
        <w:t xml:space="preserve">модель быстрой замены с одним просветом. Доступны изделия различных размеров </w:t>
      </w:r>
      <w:r>
        <w:rPr>
          <w:rStyle w:val="CharStyle12"/>
          <w:u w:val="single"/>
        </w:rPr>
        <w:t>для расширения</w:t>
      </w:r>
      <w:r>
        <w:rPr>
          <w:rStyle w:val="CharStyle12"/>
        </w:rPr>
        <w:t xml:space="preserve"> небольших, суженных и/или непроходимых </w:t>
      </w:r>
      <w:r>
        <w:rPr>
          <w:rStyle w:val="CharStyle12"/>
          <w:b/>
          <w:bCs/>
          <w:u w:val="single"/>
        </w:rPr>
        <w:t>коронарных артерий или шунтов</w:t>
      </w:r>
      <w:r>
        <w:rPr>
          <w:rStyle w:val="CharStyle12"/>
        </w:rPr>
        <w:t>. Может также предназначаться для предварительной и/или последующей дилатации баллонорасширяемого стента (не относящегося 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данному виду) </w:t>
      </w:r>
      <w:r>
        <w:rPr>
          <w:rStyle w:val="CharStyle12"/>
          <w:b/>
          <w:bCs/>
          <w:u w:val="single"/>
        </w:rPr>
        <w:t>в коронарных артериях</w:t>
      </w:r>
      <w:r>
        <w:rPr>
          <w:rStyle w:val="CharStyle12"/>
        </w:rPr>
        <w:t>. Это изделие для одноразового использования;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32.50.13.190-02615: </w:t>
      </w:r>
      <w:r>
        <w:rPr>
          <w:rStyle w:val="CharStyle12"/>
        </w:rPr>
        <w:t xml:space="preserve">Нерассасывающаяся металлическая трубчатая сетчатая структура, покрытая рассасывающимся полимером, содержащим лекарственное средство, предназначенная для имплантации через катетер </w:t>
      </w:r>
      <w:r>
        <w:rPr>
          <w:rStyle w:val="CharStyle12"/>
          <w:u w:val="single"/>
        </w:rPr>
        <w:t xml:space="preserve">для доставки в </w:t>
      </w:r>
      <w:r>
        <w:rPr>
          <w:rStyle w:val="CharStyle12"/>
          <w:b/>
          <w:bCs/>
          <w:u w:val="single"/>
        </w:rPr>
        <w:t>коронарную артерию</w:t>
      </w:r>
      <w:r>
        <w:rPr>
          <w:rStyle w:val="CharStyle12"/>
          <w:b/>
          <w:bCs/>
        </w:rPr>
        <w:t xml:space="preserve"> </w:t>
      </w:r>
      <w:r>
        <w:rPr>
          <w:rStyle w:val="CharStyle12"/>
        </w:rPr>
        <w:t xml:space="preserve">(или в трансплантат из подкожной </w:t>
      </w:r>
      <w:r>
        <w:rPr>
          <w:rStyle w:val="CharStyle12"/>
          <w:b/>
          <w:bCs/>
          <w:u w:val="single"/>
        </w:rPr>
        <w:t>вены</w:t>
      </w:r>
      <w:r>
        <w:rPr>
          <w:rStyle w:val="CharStyle12"/>
        </w:rPr>
        <w:t xml:space="preserve">) для поддержания ее проходимости, как правило, у пациентов с симптоматической атеросклеротической болезнью сердца. Лекарственное средство медленно высвобождается по мере рассасывания полимера и предназначено для ингибирования рестеноза сосудов за счет снижения пролиферации клеток гладкой мускулатуры. Некоторые модели могут имплантироваться через бифуркацию </w:t>
      </w:r>
      <w:r>
        <w:rPr>
          <w:rStyle w:val="CharStyle12"/>
          <w:b/>
          <w:bCs/>
          <w:u w:val="single"/>
        </w:rPr>
        <w:t>коронарной артерии</w:t>
      </w:r>
      <w:r>
        <w:rPr>
          <w:rStyle w:val="CharStyle12"/>
        </w:rPr>
        <w:t>. Могут прилагаться одноразовые изделия, необходимые для имплантации.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Таким образом, закупаемые медицинские изделия имеют назначение, отличное от назначения зондирующих и бужирующих медицинских инструментов, предусмотренного положениями ГОСТ </w:t>
      </w:r>
      <w:r>
        <w:rPr>
          <w:rStyle w:val="CharStyle12"/>
          <w:lang w:val="en-US" w:eastAsia="en-US"/>
        </w:rPr>
        <w:t xml:space="preserve">25725-89, </w:t>
      </w:r>
      <w:r>
        <w:rPr>
          <w:rStyle w:val="CharStyle12"/>
        </w:rPr>
        <w:t>и, соответственно, не относятся к инструментам зондирующим, бужирующим.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На основании изложенного, Заказчиком при установлении ограничения закупок товаров, происходящих из иностранных государств, выполняемых работ, оказываемых услуг иностранными лицами, к закупаемым товарам нарушил ч.3 ст.14 Закона. Довод жалобы признан 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 xml:space="preserve">Согласно доводу жалобы, сформированной Заказчиком совокупности характеристик по товарам с идентификаторами </w:t>
      </w:r>
      <w:r>
        <w:rPr>
          <w:rStyle w:val="CharStyle12"/>
          <w:lang w:val="en-US" w:eastAsia="en-US"/>
        </w:rPr>
        <w:t xml:space="preserve">211441091, 211317600, 211266223 </w:t>
      </w:r>
      <w:r>
        <w:rPr>
          <w:rStyle w:val="CharStyle12"/>
        </w:rPr>
        <w:t xml:space="preserve">и пр. соответствует товар единственного произвидителя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«ТЕРУМО ЮРОП Н.В.».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Заказчиком в материалы дела представлены письменные пояснения, согласно которым сформированному описанию объекта закупки соответствуют товары различных производителей, а именно: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Стент коронарный </w:t>
      </w:r>
      <w:r>
        <w:rPr>
          <w:rStyle w:val="CharStyle12"/>
          <w:lang w:val="en-US" w:eastAsia="en-US"/>
        </w:rPr>
        <w:t xml:space="preserve">FirehawkTM c </w:t>
      </w:r>
      <w:r>
        <w:rPr>
          <w:rStyle w:val="CharStyle12"/>
        </w:rPr>
        <w:t xml:space="preserve">рассасывающимся лекарственным покрытием рапамицин, «Шанхай МайкроПорт Медикал (Груп) Ко., Лтд.», Китайская Народная Республика (РУ РЗН </w:t>
      </w:r>
      <w:r>
        <w:rPr>
          <w:rStyle w:val="CharStyle12"/>
          <w:lang w:val="en-US" w:eastAsia="en-US"/>
        </w:rPr>
        <w:t>2020/10918);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Стент коронарный сиролимус-выделяющий с системой доставки, «ТЕРУМО ЮРОП Н.В.», Королевство Бельгия (РУ РЗН </w:t>
      </w:r>
      <w:r>
        <w:rPr>
          <w:rStyle w:val="CharStyle12"/>
          <w:lang w:val="en-US" w:eastAsia="en-US"/>
        </w:rPr>
        <w:t>2021/14131).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ч.2 ст.19 Закона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 </w:t>
      </w:r>
      <w:r>
        <w:rPr>
          <w:rStyle w:val="CharStyle12"/>
          <w:u w:val="single"/>
        </w:rPr>
        <w:t>антимонопольный орган не наделен полномочиями проверять потребность Заказчика</w:t>
      </w:r>
      <w:r>
        <w:rPr>
          <w:rStyle w:val="CharStyle12"/>
        </w:rPr>
        <w:t xml:space="preserve"> для решения возложенных на него задач.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Аналогичная правовая позиция изложена в Постановлении Арбитражного суда Северо</w:t>
        <w:softHyphen/>
        <w:t xml:space="preserve">Кавказского округа от </w:t>
      </w:r>
      <w:r>
        <w:rPr>
          <w:rStyle w:val="CharStyle12"/>
          <w:lang w:val="en-US" w:eastAsia="en-US"/>
        </w:rPr>
        <w:t xml:space="preserve">10.02.2021 </w:t>
      </w:r>
      <w:r>
        <w:rPr>
          <w:rStyle w:val="CharStyle12"/>
        </w:rPr>
        <w:t>№Ф08-12521/2020 по делу №А53-13738/2020.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Исходя из анализа ч.4 ст.106 Закона следует, что именно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не представил доказательства, однозначно свидетельствующие о неправомерности установления Заказчиком оспариваемых характеристик, равно как и об ограничении потенциального количества участников закупки путем установления спорных характеристик и лишении Заявителя подать заявку на участие в закупке. По существу доводы жалобы носят вероятностный, уклончивый и предположительный характер.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При таких обстоятельствах, довод жалобы не нашел своего подтверждения.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Согласно ч.22 ст.99 Закона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Таким образом, принимая во внимание тот факт, что допущенное нарушение в данном случае не повлияло на результаты определения поставщика (подрядчика, исполнителя), руководствуясь Законом, основания для выдачи предписания отсутствуют.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Постановления Правительства РФ от 26.08.2013г. </w:t>
      </w:r>
      <w:r>
        <w:rPr>
          <w:rStyle w:val="CharStyle12"/>
          <w:lang w:val="en-US" w:eastAsia="en-US"/>
        </w:rPr>
        <w:t xml:space="preserve">№728, </w:t>
      </w:r>
      <w:r>
        <w:rPr>
          <w:rStyle w:val="CharStyle12"/>
        </w:rPr>
        <w:t>в соответствии с ч.15 ст.99, ч.8 ст.106 Закона,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жалобу ООО «МИОКАРДИУМ» частично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Заказчика нарушившим ч.3 ст.14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Предписание об устранении нарушений не выдавать, поскольку действия Заказчика не повлияли на результаты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8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Рассмотреть вопрос о привлечении виновного должностного лица Заказчика к административной ответственности.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20"/>
        <w:jc w:val="both"/>
      </w:pPr>
      <w:r>
        <w:rPr>
          <w:rStyle w:val="CharStyle12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Председатель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0"/>
        <w:jc w:val="right"/>
      </w:pPr>
      <w:r>
        <w:rPr>
          <w:rStyle w:val="CharStyle12"/>
        </w:rPr>
        <w:t>С.В. Батурин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2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5.25pt;margin-top:36.8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2.09999999999999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В.Д. Кириленко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>Кириленко Вероника Дмитриевна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00864D0A03EBFDFD285B3099D538409B42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9"/>
        </w:rPr>
        <w:t xml:space="preserve">Действителен с 06.02.2026 </w:t>
      </w:r>
      <w:r>
        <w:rPr>
          <w:rStyle w:val="CharStyle29"/>
          <w:color w:val="575757"/>
        </w:rPr>
        <w:t>по 02.05.2027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5.25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09999999999999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С.В. Панченко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>Панченко София Викторовна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00B7D5B5B366DD0E393EA4A143AB8B0B4</w:t>
      </w:r>
      <w:r>
        <w:rPr>
          <w:rStyle w:val="CharStyle29"/>
          <w:lang w:val="en-US" w:eastAsia="en-US"/>
        </w:rPr>
        <w:t>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right="0" w:firstLine="0"/>
        <w:jc w:val="left"/>
      </w:pPr>
      <w:r>
        <w:rPr>
          <w:rStyle w:val="CharStyle29"/>
        </w:rPr>
        <w:t xml:space="preserve">Действителен с 04.04.2025 </w:t>
      </w:r>
      <w:r>
        <w:rPr>
          <w:rStyle w:val="CharStyle29"/>
          <w:color w:val="575757"/>
        </w:rPr>
        <w:t xml:space="preserve">по </w:t>
      </w:r>
      <w:r>
        <w:rPr>
          <w:rStyle w:val="CharStyle29"/>
        </w:rPr>
        <w:t>28.06.2026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Исп.Панченко С.В. тел.240-86-88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6" w:right="509" w:bottom="1189" w:left="107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10027285</wp:posOffset>
              </wp:positionV>
              <wp:extent cx="648017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017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2026-7823</w:t>
                            <w:tab/>
                          </w: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57.050000000000004pt;margin-top:789.55000000000007pt;width:510.25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2026-7823</w:t>
                      <w:tab/>
                    </w: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2026-7823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775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2026-7823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Table caption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Other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2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Table caption"/>
    <w:basedOn w:val="Normal"/>
    <w:link w:val="CharStyle23"/>
    <w:pPr>
      <w:widowControl w:val="0"/>
      <w:shd w:val="clear" w:color="auto" w:fill="auto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Other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