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817880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21332/26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40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21332/26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«ГКБ им. Ф.И. Иноземцева ДЗМ» </w:t>
      </w:r>
      <w:r>
        <w:fldChar w:fldCharType="begin"/>
      </w:r>
      <w:r>
        <w:rPr/>
        <w:instrText> HYPERLINK "mailto:gkb36@zdrav.mos.ru" </w:instrText>
      </w:r>
      <w:r>
        <w:fldChar w:fldCharType="separate"/>
      </w:r>
      <w:r>
        <w:rPr>
          <w:rStyle w:val="CharStyle7"/>
          <w:lang w:val="en-US" w:eastAsia="en-US"/>
        </w:rPr>
        <w:t>gkb36@zdrav.mos.ru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40" w:line="240" w:lineRule="auto"/>
        <w:ind w:left="1140" w:right="0" w:firstLine="0"/>
        <w:jc w:val="both"/>
      </w:pPr>
      <w:r>
        <w:rPr>
          <w:rStyle w:val="CharStyle7"/>
        </w:rPr>
        <w:t xml:space="preserve">ООО «ЛитоЛаб» </w:t>
      </w:r>
      <w:r>
        <w:fldChar w:fldCharType="begin"/>
      </w:r>
      <w:r>
        <w:rPr/>
        <w:instrText> HYPERLINK "mailto:glazenko@litolab.ru" </w:instrText>
      </w:r>
      <w:r>
        <w:fldChar w:fldCharType="separate"/>
      </w:r>
      <w:r>
        <w:rPr>
          <w:rStyle w:val="CharStyle7"/>
          <w:lang w:val="en-US" w:eastAsia="en-US"/>
        </w:rPr>
        <w:t>glazenko@litolab.ru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077/06/105-6112/2026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14.05.2026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 участии представителя ГБУЗ «ГКБ им. Ф.И. Иноземцева ДЗМ»: В.С. Демченко (по доверенности </w:t>
      </w:r>
      <w:r>
        <w:rPr>
          <w:rStyle w:val="CharStyle7"/>
          <w:lang w:val="en-US" w:eastAsia="en-US"/>
        </w:rPr>
        <w:t xml:space="preserve">№ 2/2026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12.01.2026);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отсутствие представителей ООО «ЛитоЛаб»,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714375</wp:posOffset>
            </wp:positionH>
            <wp:positionV relativeFrom="margin">
              <wp:posOffset>9104630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«ЛитоЛаб»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им. Ф.И. Иноземцева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пипеток для центра лабораторной диагностики (среди субъектов малого предпринимательства и социально-ориентированных некоммерческих организаций) для нужд ГБУЗ «ГКБ им. Ф.И. Иноземцева ДЗМ» (Закупка </w:t>
      </w:r>
      <w:r>
        <w:rPr>
          <w:rStyle w:val="CharStyle7"/>
          <w:lang w:val="en-US" w:eastAsia="en-US"/>
        </w:rPr>
        <w:t>№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0373200052326000453)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В составе жалобы Заявитель указывает, что Заказчиком при описании объекта закупки на поставку товара «Пипетка механическая» по КТРУ </w:t>
      </w:r>
      <w:r>
        <w:rPr>
          <w:rStyle w:val="CharStyle7"/>
          <w:lang w:val="en-US" w:eastAsia="en-US"/>
        </w:rPr>
        <w:t>32.50.50.190</w:t>
        <w:softHyphen/>
        <w:t xml:space="preserve">00000050 </w:t>
      </w:r>
      <w:r>
        <w:rPr>
          <w:rStyle w:val="CharStyle7"/>
        </w:rPr>
        <w:t xml:space="preserve">неправомерно не применена позиция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КТРУ) </w:t>
      </w:r>
      <w:r>
        <w:rPr>
          <w:rStyle w:val="CharStyle7"/>
          <w:lang w:val="en-US" w:eastAsia="en-US"/>
        </w:rPr>
        <w:t>32.50.50.190</w:t>
        <w:softHyphen/>
        <w:t xml:space="preserve">00000352 </w:t>
      </w:r>
      <w:r>
        <w:rPr>
          <w:rStyle w:val="CharStyle7"/>
        </w:rPr>
        <w:t>«Пипетка с ручным заполнением».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По мнению Заявителя данные изделия являются абсолютно разными по техническому исполнению, функциональному назначению, кратности использования и ценовым значением.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связи с неверным выбором КТРУ отсутствует возможность корректного указания характеристик товара и их значений участником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3" w:val="left"/>
        </w:tabs>
        <w:bidi w:val="0"/>
        <w:spacing w:before="0" w:after="400" w:line="240" w:lineRule="auto"/>
        <w:ind w:left="0" w:right="0" w:firstLine="68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№145 </w:t>
      </w:r>
      <w:r>
        <w:rPr>
          <w:rStyle w:val="CharStyle7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7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2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) 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7"/>
          <w:lang w:val="en-US" w:eastAsia="en-US"/>
        </w:rPr>
        <w:t xml:space="preserve">25, 26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Правительства Российской Федерации от </w:t>
      </w:r>
      <w:r>
        <w:rPr>
          <w:rStyle w:val="CharStyle7"/>
          <w:lang w:val="en-US" w:eastAsia="en-US"/>
        </w:rPr>
        <w:t xml:space="preserve">23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2024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Постановление№1875), позициях </w:t>
      </w:r>
      <w:r>
        <w:rPr>
          <w:rStyle w:val="CharStyle7"/>
          <w:lang w:val="en-US" w:eastAsia="en-US"/>
        </w:rPr>
        <w:t xml:space="preserve">191 - 361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применяются предусмотренные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запрет, ограничение соответственно;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2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.6 Правил использования КТРУ установлено, чтов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Комиссией Управления установлено, что, согласно извещению об осуществлении закупки Заказчиком закупается товар: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 xml:space="preserve">Пипетка механическая, Идентификатор: </w:t>
      </w:r>
      <w:r>
        <w:rPr>
          <w:rStyle w:val="CharStyle7"/>
          <w:i/>
          <w:iCs/>
          <w:lang w:val="en-US" w:eastAsia="en-US"/>
        </w:rPr>
        <w:t xml:space="preserve">213119070, </w:t>
      </w:r>
      <w:r>
        <w:rPr>
          <w:rStyle w:val="CharStyle7"/>
          <w:i/>
          <w:iCs/>
        </w:rPr>
        <w:t xml:space="preserve">КТРУ </w:t>
      </w:r>
      <w:r>
        <w:rPr>
          <w:rStyle w:val="CharStyle7"/>
          <w:i/>
          <w:iCs/>
          <w:lang w:val="en-US" w:eastAsia="en-US"/>
        </w:rPr>
        <w:t>32.50.50.190</w:t>
        <w:softHyphen/>
        <w:t>00000050: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>Область применения: Для взятия и переноса фиксированных объемов жидкости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 xml:space="preserve">Длина: </w:t>
      </w:r>
      <w:r>
        <w:rPr>
          <w:rStyle w:val="CharStyle7"/>
          <w:i/>
          <w:iCs/>
          <w:lang w:val="en-US" w:eastAsia="en-US"/>
        </w:rPr>
        <w:t xml:space="preserve">≥ 200 </w:t>
      </w:r>
      <w:r>
        <w:rPr>
          <w:rStyle w:val="CharStyle7"/>
          <w:i/>
          <w:iCs/>
        </w:rPr>
        <w:t>Миллиметр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 xml:space="preserve">Количество каналов: </w:t>
      </w:r>
      <w:r>
        <w:rPr>
          <w:rStyle w:val="CharStyle7"/>
          <w:i/>
          <w:iCs/>
          <w:lang w:val="en-US" w:eastAsia="en-US"/>
        </w:rPr>
        <w:t xml:space="preserve">≥ 1 </w:t>
      </w:r>
      <w:r>
        <w:rPr>
          <w:rStyle w:val="CharStyle7"/>
          <w:i/>
          <w:iCs/>
        </w:rPr>
        <w:t>Штука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>Материал: Полиэтилен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  <w:i/>
          <w:iCs/>
        </w:rPr>
        <w:t xml:space="preserve">Минимальный остаточный срок годности на дату поставки: </w:t>
      </w:r>
      <w:r>
        <w:rPr>
          <w:rStyle w:val="CharStyle7"/>
          <w:i/>
          <w:iCs/>
          <w:lang w:val="en-US" w:eastAsia="en-US"/>
        </w:rPr>
        <w:t xml:space="preserve">≥ 12 </w:t>
      </w:r>
      <w:r>
        <w:rPr>
          <w:rStyle w:val="CharStyle7"/>
          <w:i/>
          <w:iCs/>
        </w:rPr>
        <w:t>Месяц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 xml:space="preserve">Объем дозирования, мкл: </w:t>
      </w:r>
      <w:r>
        <w:rPr>
          <w:rStyle w:val="CharStyle7"/>
          <w:i/>
          <w:iCs/>
          <w:lang w:val="en-US" w:eastAsia="en-US"/>
        </w:rPr>
        <w:t>≥ 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>Тип использования: Многоразовый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  <w:i/>
          <w:iCs/>
        </w:rPr>
        <w:t>Требования к стерильности изделия: Нестерильный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силу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Согласно пп.«а» п.13 Правил формирования КТРУ в описание товара, работы, услуги в соответствии с требованиями ст.33 Закона о контрактной системе включается в том числе потребительские свойства и иные характеристики товара, работы, услуги, в том числе функциональные, технические, качественные характеристики, эксплуатационные характеристики (при необходимости), сформированные с учетом следующих сведений: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случае если указанные характеристики имеют количественную оценку, то используются единицы измерения в соответствии с ОКЕИ. При отсутствии в ОКЕИ единицы измерения, в отношении которой уполномоченным органом принято решение о включении в описание товара, работы, услуги, уполномоченный орган направляет в федеральный орган исполнительной власти, обеспечивающий разработку, ведение и применение ОКЕИ, обращение о включении такой единицы измерения в ОКЕИ. При этом до включения соответствующей единицы измерения в ОКЕИ такая единица измерения включается в описание товара, работы, услуги и считается временным значением;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отношении каждой характеристики, имеющей количественную оценку, указывается ее конкретное значение, или исчерпывающий перечень конкретных значений, или диапазоны допустимых значений (минимально либо максимально допустимые значения), или неизменяемые значения, в том числе с учетом требований к товару, работе, услуге, установленных в соответствии со ст.19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5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 отношении каждой характеристики, не имеющей количественной оценки,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указывается исчерпывающий перечень соответствующих свойств товара, работы, услуги, в том числе с учетом требований к объектам закупки, установленных в соответствии со ст.19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Заказчиком установлено КТРУ </w:t>
      </w:r>
      <w:r>
        <w:rPr>
          <w:rStyle w:val="CharStyle7"/>
          <w:lang w:val="en-US" w:eastAsia="en-US"/>
        </w:rPr>
        <w:t xml:space="preserve">32.50.50.190-00000050 </w:t>
      </w:r>
      <w:r>
        <w:rPr>
          <w:rStyle w:val="CharStyle7"/>
        </w:rPr>
        <w:t>«Пипетка мехапическая» полностью соответствующее потребности Заказчика и описанию товара отраженному в справочной информации КТРУ: Ручное устройство, как правило, лабораторного использования для взятия и переноса фиксированных объемов жидкости. Пользователь обычно держит изделие в руке, приводит в действие, запуская встроенный механизм всасывания жидкости нажатием пальца, при возникновении разрежения воздуха при отпускании пальца. Пинетка может иметь один или несколько цилиндро/поршневых каналов. Заданный объем жидкости может быть перенесен в одну или несколько ёмкостей одновременно, например, лунки планшетов для микротитрования. Пипетка может иметь заводскую предустановку на фиксированный объем или сменный, настраиваемый пользователем избранный объем в пределах объемов, установленных для каждой конкретной пипетки. Дозируемый объём может указываться на цифровом дисплее.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силу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при этом в составе жалобы Заявителем, не представлено документов и сведений, подтверждающих доводы жалобы, в частности доказательств того обстоятельства, что позиция КТРУ32.50.50.190-00000352 более соответствуют закупаемому Заказчиком изделию,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Исходя из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«ЛитоЛаб» на действия ГБУЗ «ГКБ им. Ф.И. Иноземцева 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42" w:bottom="1114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2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00000000000004pt;margin-top:26.pt;width:145.20000000000002pt;height:19.900000000000002pt;z-index:-125829371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3053715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3474085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3.55000000000001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5" behindDoc="0" locked="0" layoutInCell="1" allowOverlap="1">
                <wp:simplePos x="0" y="0"/>
                <wp:positionH relativeFrom="page">
                  <wp:posOffset>6068060</wp:posOffset>
                </wp:positionH>
                <wp:positionV relativeFrom="paragraph">
                  <wp:posOffset>330200</wp:posOffset>
                </wp:positionV>
                <wp:extent cx="114300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7.80000000000001pt;margin-top:26.pt;width:90.pt;height:19.900000000000002pt;z-index:-125829368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9" w:right="550" w:bottom="342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41630" distL="0" distR="0" simplePos="0" relativeHeight="125829387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76200</wp:posOffset>
                </wp:positionV>
                <wp:extent cx="134429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050000000000004pt;margin-top:6.pt;width:105.85000000000001pt;height:19.900000000000002pt;z-index:-125829366;mso-wrap-distance-left:0;mso-wrap-distance-top: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9" behindDoc="0" locked="0" layoutInCell="1" allowOverlap="1">
            <wp:simplePos x="0" y="0"/>
            <wp:positionH relativeFrom="page">
              <wp:posOffset>3053715</wp:posOffset>
            </wp:positionH>
            <wp:positionV relativeFrom="paragraph">
              <wp:posOffset>149225</wp:posOffset>
            </wp:positionV>
            <wp:extent cx="359410" cy="5245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3514090</wp:posOffset>
                </wp:positionH>
                <wp:positionV relativeFrom="paragraph">
                  <wp:posOffset>554355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6.69999999999999pt;margin-top:43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3474085</wp:posOffset>
                </wp:positionH>
                <wp:positionV relativeFrom="paragraph">
                  <wp:posOffset>237490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55000000000001pt;margin-top:18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41630" distL="0" distR="0" simplePos="0" relativeHeight="125829390" behindDoc="0" locked="0" layoutInCell="1" allowOverlap="1">
                <wp:simplePos x="0" y="0"/>
                <wp:positionH relativeFrom="page">
                  <wp:posOffset>6062345</wp:posOffset>
                </wp:positionH>
                <wp:positionV relativeFrom="paragraph">
                  <wp:posOffset>76200</wp:posOffset>
                </wp:positionV>
                <wp:extent cx="111887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7.35000000000002pt;margin-top:6.pt;width:88.100000000000009pt;height:19.900000000000002pt;z-index:-125829363;mso-wrap-distance-left:0;mso-wrap-distance-top: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18970" simplePos="0" relativeHeight="125829392" behindDoc="0" locked="0" layoutInCell="1" allowOverlap="1">
            <wp:simplePos x="0" y="0"/>
            <wp:positionH relativeFrom="page">
              <wp:posOffset>3077845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3474085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3.55000000000001pt;margin-top:11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40"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58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28.02.2027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50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10214610</wp:posOffset>
              </wp:positionV>
              <wp:extent cx="68580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00000000000003pt;margin-top:804.30000000000007pt;width:54.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473075</wp:posOffset>
              </wp:positionV>
              <wp:extent cx="6985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85000000000002pt;margin-top:37.25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22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