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20.05.2026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21349/26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20.05.2026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21349/26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ФГБУ «НИИ Пульмонологии» ФМБА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"mailto:niipulmo@yandex.ru" </w:instrText>
      </w:r>
      <w:r>
        <w:fldChar w:fldCharType="separate"/>
      </w:r>
      <w:r>
        <w:rPr>
          <w:rStyle w:val="CharStyle7"/>
          <w:lang w:val="en-US" w:eastAsia="en-US"/>
        </w:rPr>
        <w:t>niipulmo@yandex.ru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ООО «КВАЗАР»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720" w:line="240" w:lineRule="auto"/>
        <w:ind w:left="1140" w:right="0" w:firstLine="0"/>
        <w:jc w:val="both"/>
      </w:pP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7"/>
          <w:lang w:val="en-US" w:eastAsia="en-US"/>
        </w:rPr>
        <w:t>info@kvazar.ooo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№077/06/105-6181/2026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15.05.2026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ФГБУ «НИИ Пульмонологии» ФМБА России: О.В. Шиловой (дов. </w:t>
      </w:r>
      <w:r>
        <w:rPr>
          <w:rStyle w:val="CharStyle7"/>
          <w:lang w:val="en-US" w:eastAsia="en-US"/>
        </w:rPr>
        <w:t xml:space="preserve">№43-2026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29.01.2026),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«КВАЗАР»: Г.Н. Валиевой (по дов.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11.03.2026),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третьего лица: Д.В. Черных (генеральный директор),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1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«КВАЗАР»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Заявитель) на действия ФГБУ «НИИ Пульмонологии» ФМБА России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картриджей для оргтехники для нужд ФГБУ «НИИ пульмонологии» ФМБА России (Закупка </w:t>
      </w:r>
      <w:r>
        <w:rPr>
          <w:rStyle w:val="CharStyle7"/>
          <w:lang w:val="en-US" w:eastAsia="en-US"/>
        </w:rPr>
        <w:t>№</w:t>
        <w:tab/>
        <w:t xml:space="preserve">0373100108026000146)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аукцион), в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1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соответствии с Федеральным законом от </w:t>
      </w:r>
      <w:r>
        <w:rPr>
          <w:rStyle w:val="CharStyle7"/>
          <w:lang w:val="en-US" w:eastAsia="en-US"/>
        </w:rPr>
        <w:t>05.04.2013</w:t>
        <w:tab/>
      </w:r>
      <w:r>
        <w:rPr>
          <w:rStyle w:val="CharStyle7"/>
        </w:rPr>
        <w:t>№44-ФЗ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rStyle w:val="CharStyle7"/>
          <w:lang w:val="en-US" w:eastAsia="en-US"/>
        </w:rPr>
        <w:t>IIIIIIIIIIIIIIIIIIIIIIIIIIII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546" w:bottom="294" w:left="111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1"/>
          <w:sz w:val="24"/>
          <w:szCs w:val="24"/>
          <w:lang w:val="en-US" w:eastAsia="en-US"/>
        </w:rPr>
        <w:t>2026-24223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при формировании извещения Заказчиком выбран неверный код по общероссийскому классификатору продукции по видам экономической деятельности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ОКПД2) </w:t>
      </w:r>
      <w:r>
        <w:rPr>
          <w:rStyle w:val="CharStyle7"/>
          <w:lang w:val="en-US" w:eastAsia="en-US"/>
        </w:rPr>
        <w:t xml:space="preserve">28.23.25.000 </w:t>
      </w:r>
      <w:r>
        <w:rPr>
          <w:rStyle w:val="CharStyle7"/>
        </w:rPr>
        <w:t>«Части и принадлежности прочих офисных машин».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мнению Заявителя, отраженного в составе жалобы, наиболее соответствующим коду ОКПД2 закупаемым товарам является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 в обоснование своей позиции Заявитель указывает, что «емкости с тонером и тонерные отсеки для лазерных и светодиодных принтеров и многофункциональных печатающих устройств», а также «картриджи однокомпонентные (в одном корпусе совмещен блок фотобарабана и тонерный отсек)» применяются в лазерных и светодиодных принтерах и МФУ, в связи с чем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 соответствует не только картриджам для струйных, каплеструйных и сублимационных принтеров и МФУ.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Кроме того, необходимо отметить, что детализирующее описание кода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 xml:space="preserve">«Элементы замены типовые устройств ввода и вывода» не является исчерпывающим, что следует из применения в описании слов «в том числе». Таким образом,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охватывает лазерные картриджи (как в виде тонерных емкостей, так и в виде отдельного фотобарабана), что соответствует предмету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Указание в классификаторе также на картриджи для других типов печати (струйные, сублимационные) не исключает принадлежности к данному коду лазерных картриджей, а лишь подтверждает его комплексный, детализированный характер, что является преимуществом для точного описания предмета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58" w:right="541" w:bottom="115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основании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</w:t>
      </w:r>
      <w:r>
        <w:rPr>
          <w:rStyle w:val="CharStyle7"/>
          <w:sz w:val="24"/>
          <w:szCs w:val="24"/>
          <w:lang w:val="en-US" w:eastAsia="en-US"/>
        </w:rPr>
        <w:t>2026-24223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юридических лиц»: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пп. «д»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позиции 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2008)», </w:t>
      </w:r>
      <w:r>
        <w:rPr>
          <w:rStyle w:val="CharStyle7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>2008)».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согласно описанию объекта закупки Заказчиком закупаются расходные материалы, например: «Тонер-картридж </w:t>
      </w:r>
      <w:r>
        <w:rPr>
          <w:rStyle w:val="CharStyle7"/>
          <w:lang w:val="en-US" w:eastAsia="en-US"/>
        </w:rPr>
        <w:t xml:space="preserve">HP CF230X </w:t>
      </w:r>
      <w:r>
        <w:rPr>
          <w:rStyle w:val="CharStyle7"/>
        </w:rPr>
        <w:t xml:space="preserve">(или эквивалент)», выбран код ОКПД2 </w:t>
      </w:r>
      <w:r>
        <w:rPr>
          <w:rStyle w:val="CharStyle7"/>
          <w:lang w:val="en-US" w:eastAsia="en-US"/>
        </w:rPr>
        <w:t xml:space="preserve">28.23.25.000, </w:t>
      </w:r>
      <w:r>
        <w:rPr>
          <w:rStyle w:val="CharStyle7"/>
        </w:rPr>
        <w:t xml:space="preserve">при этом в отношении закупаемых товаров Заказчиком установлено преимущество закупок товаров, происходящих из иностранных государств, предусмотренных Постановлением </w:t>
      </w:r>
      <w:r>
        <w:rPr>
          <w:rStyle w:val="CharStyle7"/>
          <w:lang w:val="en-US" w:eastAsia="en-US"/>
        </w:rPr>
        <w:t>№1875</w:t>
      </w:r>
      <w:r>
        <w:rPr>
          <w:rStyle w:val="CharStyle7"/>
          <w:color w:val="C9211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код ОКПД2 выбран Заказчиком в полном соответствии с решением и предписанием Московского УФАС России. Ранее Заказчиком была проведена закупка с кодом ОКПД2 </w:t>
      </w:r>
      <w:r>
        <w:rPr>
          <w:rStyle w:val="CharStyle7"/>
          <w:lang w:val="en-US" w:eastAsia="en-US"/>
        </w:rPr>
        <w:t xml:space="preserve">26.20.40.120. </w:t>
      </w:r>
      <w:r>
        <w:rPr>
          <w:rStyle w:val="CharStyle7"/>
        </w:rPr>
        <w:t xml:space="preserve">По жалобе ООО «Велес» решением Московского УФАС от </w:t>
      </w:r>
      <w:r>
        <w:rPr>
          <w:rStyle w:val="CharStyle7"/>
          <w:lang w:val="en-US" w:eastAsia="en-US"/>
        </w:rPr>
        <w:t xml:space="preserve">14.04.2026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077/06/105-4504/2026 </w:t>
      </w:r>
      <w:r>
        <w:rPr>
          <w:rStyle w:val="CharStyle7"/>
        </w:rPr>
        <w:t>установлено, что: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код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соответствует картриджам для струйных, каплеструйных и сублимационных МФУ;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код </w:t>
      </w:r>
      <w:r>
        <w:rPr>
          <w:rStyle w:val="CharStyle7"/>
          <w:lang w:val="en-US" w:eastAsia="en-US"/>
        </w:rPr>
        <w:t xml:space="preserve">28.23.25.000 </w:t>
      </w:r>
      <w:r>
        <w:rPr>
          <w:rStyle w:val="CharStyle7"/>
        </w:rPr>
        <w:t>соответствует картриджам для МФУ с лазерной технологией печати.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Заказчику выдано предписание, которое исполнено путем отмены предыдущей закупки и публикации новой закупки </w:t>
      </w:r>
      <w:r>
        <w:rPr>
          <w:rStyle w:val="CharStyle7"/>
          <w:lang w:val="en-US" w:eastAsia="en-US"/>
        </w:rPr>
        <w:t xml:space="preserve">№ 0373200017526000204 </w:t>
      </w:r>
      <w:r>
        <w:rPr>
          <w:rStyle w:val="CharStyle7"/>
        </w:rPr>
        <w:t xml:space="preserve">с кодом </w:t>
      </w:r>
      <w:r>
        <w:rPr>
          <w:rStyle w:val="CharStyle7"/>
          <w:lang w:val="en-US" w:eastAsia="en-US"/>
        </w:rPr>
        <w:t xml:space="preserve">28.23.25.000 </w:t>
      </w:r>
      <w:r>
        <w:rPr>
          <w:rStyle w:val="CharStyle7"/>
        </w:rPr>
        <w:t>в соответствии с выводами контрольного органа.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принятия решения Комиссии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 При этом заказчик самостоятельно определяет код ОКПД2 как наиболее подходящий объекту закупки, исходя из собственных потребностей и особенностей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этом Комиссия Управления считает необходимым отметить, что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товара, работы,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Комиссией Управления установлено, что Заказчиком приобретаются картриджи, в том числе картриджи для печатающих устройств с лазерной технологией печати.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При принятии решения Комиссия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Вместе с тем Комиссия Управления отмечает, что в классификаторе ОКПД2 присутствует следующее детализирующее пояснение кода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 устройств ввода и вывода»: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«Эта группировка в том числе включает: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однокомпонентные (в одном корпусе совмещен блок фотобарабана и тонерный отсек);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4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и прочие расходные материалы для сублимационных принтеров»;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картриджи для струйных и каплеструйных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тонером и тонерные отсеки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фотопроводниковые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емкости с чернилами для струйных, каплеструйных и твердочернильных принтеров и многофункциональных печатающих устройств, красящие ленты для матричных и литерных принтеров;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  <w:i/>
          <w:iCs/>
        </w:rPr>
        <w:t>средства очистки системы печати для струйных, каплеструйных и твердочернильных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Таким образом, код ОКПД2 </w:t>
      </w:r>
      <w:r>
        <w:rPr>
          <w:rStyle w:val="CharStyle7"/>
          <w:lang w:val="en-US" w:eastAsia="en-US"/>
        </w:rPr>
        <w:t xml:space="preserve">26.20.40.120 </w:t>
      </w:r>
      <w:r>
        <w:rPr>
          <w:rStyle w:val="CharStyle7"/>
        </w:rPr>
        <w:t>«Элементы замены типовые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устройств ввода и вывода», соответствует картриджам для струйных, каплеструйных и сублимационных многофункциональных печатающих устройств, что не соответствует картриджам с лазерной технологией печати, для которых наиболее соответствующим кодом является код ОКПД2 </w:t>
      </w:r>
      <w:r>
        <w:rPr>
          <w:rStyle w:val="CharStyle7"/>
          <w:lang w:val="en-US" w:eastAsia="en-US"/>
        </w:rPr>
        <w:t xml:space="preserve">28.23.25.000, </w:t>
      </w:r>
      <w:r>
        <w:rPr>
          <w:rStyle w:val="CharStyle7"/>
        </w:rPr>
        <w:t xml:space="preserve">в отношении которого следует применять преимущество, предусмотренное положениями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6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.Признать жалобу ООО «КВАЗАР» на действия ФГБУ «НИИ Пульмонологии» ФМБА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4" w:val="left"/>
        </w:tabs>
        <w:bidi w:val="0"/>
        <w:spacing w:before="0" w:after="280" w:line="240" w:lineRule="auto"/>
        <w:ind w:left="0" w:right="0" w:firstLine="66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АПК РФ,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(трех) месяцев с даты его принятия.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39" w:bottom="1229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10.pt;width:145.20000000000002pt;height:19.900000000000002pt;z-index:-125829372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200025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60000000000002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44999999999999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4" behindDoc="0" locked="0" layoutInCell="1" allowOverlap="1">
                <wp:simplePos x="0" y="0"/>
                <wp:positionH relativeFrom="page">
                  <wp:posOffset>5909945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35000000000002pt;margin-top:10.pt;width:102.7pt;height:19.900000000000002pt;z-index:-125829369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</w:t>
      </w:r>
      <w:r>
        <w:rPr>
          <w:rStyle w:val="CharStyle23"/>
          <w:color w:val="565656"/>
        </w:rPr>
        <w:t xml:space="preserve">выдан: </w:t>
      </w:r>
      <w:r>
        <w:rPr>
          <w:rStyle w:val="CharStyle23"/>
          <w:color w:val="000000"/>
          <w:sz w:val="11"/>
          <w:szCs w:val="11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00EA3D636CED58A70F15417FA130B2F6C</w:t>
      </w:r>
      <w:r>
        <w:rPr>
          <w:rStyle w:val="CharStyle23"/>
          <w:lang w:val="en-US" w:eastAsia="en-US"/>
        </w:rPr>
        <w:t>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55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19999999999999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М.О. Мацнева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  <w:sz w:val="11"/>
          <w:szCs w:val="11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00FDA1C988AAB27A9A34756B8D5F1D853</w:t>
      </w:r>
      <w:r>
        <w:rPr>
          <w:rStyle w:val="CharStyle23"/>
          <w:lang w:val="en-US" w:eastAsia="en-US"/>
        </w:rPr>
        <w:t>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3"/>
        </w:rPr>
        <w:t xml:space="preserve">Действителен с 22.07.2025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55000000000001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40000000000003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  <w:sz w:val="11"/>
          <w:szCs w:val="11"/>
        </w:rPr>
        <w:t>ПЕРЕВЕРЗЕВА ЕЛИЗАВЕТА СЕРГЕЕВНА</w:t>
      </w:r>
      <w:r>
        <w:rPr>
          <w:rStyle w:val="CharStyle23"/>
          <w:color w:val="000000"/>
          <w:sz w:val="11"/>
          <w:szCs w:val="11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00FFF3ACD3A01A73F4C680C3941</w:t>
      </w:r>
      <w:r>
        <w:rPr>
          <w:rStyle w:val="CharStyle23"/>
        </w:rPr>
        <w:t>ЕЗСА026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280" w:line="266" w:lineRule="auto"/>
        <w:ind w:right="0" w:firstLine="0"/>
        <w:jc w:val="left"/>
      </w:pPr>
      <w:r>
        <w:rPr>
          <w:rStyle w:val="CharStyle23"/>
        </w:rPr>
        <w:t xml:space="preserve">Действителен с 11.12.2025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06.03.2027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1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2026-24223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2026-24223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2026-24223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794.70000000000005pt;width:56.899999999999999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2026-24223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4135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65000000000003pt;margin-top:37.5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509270</wp:posOffset>
              </wp:positionV>
              <wp:extent cx="57785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40.100000000000001pt;width:4.5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4135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65000000000003pt;margin-top:37.5pt;width:5.0499999999999998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