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77595" distR="1056005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821055</wp:posOffset>
                </wp:positionH>
                <wp:positionV relativeFrom="paragraph">
                  <wp:posOffset>622300</wp:posOffset>
                </wp:positionV>
                <wp:extent cx="2416810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9.05.2026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  <w:t>№ 21137/26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650000000000006pt;margin-top:49.pt;width:190.30000000000001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7"/>
                          <w:sz w:val="30"/>
                          <w:szCs w:val="30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9.05.2026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  <w:t>№ 21137/26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 xml:space="preserve">АО «Сбербанк-АСТ» </w:t>
      </w: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7"/>
          <w:lang w:val="en-US" w:eastAsia="en-US"/>
        </w:rPr>
        <w:t>ko@sberbank-ast.ru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 xml:space="preserve">ООО «Роза ветров» </w:t>
      </w:r>
      <w:r>
        <w:fldChar w:fldCharType="begin"/>
      </w:r>
      <w:r>
        <w:rPr/>
        <w:instrText> HYPERLINK "mailto:info@rosewind.ru" </w:instrText>
      </w:r>
      <w:r>
        <w:fldChar w:fldCharType="separate"/>
      </w:r>
      <w:r>
        <w:rPr>
          <w:rStyle w:val="CharStyle7"/>
          <w:lang w:val="en-US" w:eastAsia="en-US"/>
        </w:rPr>
        <w:t>info@rosewind.ru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80" w:line="240" w:lineRule="auto"/>
        <w:ind w:left="1140" w:right="0" w:firstLine="0"/>
        <w:jc w:val="both"/>
      </w:pPr>
      <w:r>
        <w:rPr>
          <w:rStyle w:val="CharStyle7"/>
        </w:rPr>
        <w:t xml:space="preserve">ИОГЕН РАН </w:t>
      </w:r>
      <w:r>
        <w:fldChar w:fldCharType="begin"/>
      </w:r>
      <w:r>
        <w:rPr/>
        <w:instrText> HYPERLINK "mailto:tyukhtyda@vigg.ru" </w:instrText>
      </w:r>
      <w:r>
        <w:fldChar w:fldCharType="separate"/>
      </w:r>
      <w:r>
        <w:rPr>
          <w:rStyle w:val="CharStyle7"/>
          <w:lang w:val="en-US" w:eastAsia="en-US"/>
        </w:rPr>
        <w:t>tyukhtyda@vigg.ru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077/06/105-6262/2026 </w:t>
      </w:r>
      <w:r>
        <w:rPr>
          <w:rStyle w:val="CharStyle7"/>
          <w:b/>
          <w:bCs/>
        </w:rPr>
        <w:t>об устранении нарушении</w:t>
        <w:br/>
        <w:t>законодательства о контрактной системе</w:t>
      </w:r>
    </w:p>
    <w:p>
      <w:pPr>
        <w:pStyle w:val="Style15"/>
        <w:keepNext/>
        <w:keepLines/>
        <w:widowControl w:val="0"/>
        <w:shd w:val="clear" w:color="auto" w:fill="auto"/>
        <w:tabs>
          <w:tab w:pos="8942" w:val="left"/>
        </w:tabs>
        <w:bidi w:val="0"/>
        <w:spacing w:before="0" w:after="0" w:line="240" w:lineRule="auto"/>
        <w:ind w:left="0" w:right="0" w:firstLine="0"/>
        <w:jc w:val="both"/>
      </w:pPr>
      <w:bookmarkStart w:id="0" w:name="bookmark0"/>
      <w:r>
        <w:rPr>
          <w:rStyle w:val="CharStyle16"/>
          <w:b/>
          <w:bCs/>
        </w:rPr>
        <w:t>18.05.2026</w:t>
        <w:tab/>
      </w:r>
      <w:r>
        <w:rPr>
          <w:rStyle w:val="CharStyle16"/>
          <w:b/>
          <w:bCs/>
          <w:lang w:val="ru-RU" w:eastAsia="ru-RU"/>
        </w:rPr>
        <w:t>г. Москва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Комиссия Управления Федеральной антимонопольной службы по г. Москве по контролю в сфере закупок товаров, работ, услуг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Ведущего специалиста-эксперта отдела обжалования государственных заку</w:t>
        <w:softHyphen/>
        <w:t>пок М.В. Сорбучевой,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  <w:lang w:val="en-US" w:eastAsia="en-US"/>
        </w:rPr>
        <w:t xml:space="preserve">Cпециалиста-эксперта </w:t>
      </w:r>
      <w:r>
        <w:rPr>
          <w:rStyle w:val="CharStyle7"/>
        </w:rPr>
        <w:t>отдела обжалования государственных закупок Е.С. Переверзевой,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drawing>
          <wp:anchor distT="622300" distB="0" distL="114300" distR="114300" simplePos="0" relativeHeight="125829381" behindDoc="0" locked="0" layoutInCell="1" allowOverlap="1">
            <wp:simplePos x="0" y="0"/>
            <wp:positionH relativeFrom="page">
              <wp:posOffset>716915</wp:posOffset>
            </wp:positionH>
            <wp:positionV relativeFrom="margin">
              <wp:posOffset>9091930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7"/>
        </w:rPr>
        <w:t xml:space="preserve">на основании решения Комиссии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18.05.2026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№077/06/105</w:t>
        <w:softHyphen/>
        <w:t>6262/2026</w:t>
      </w:r>
      <w:r>
        <w:rPr>
          <w:rStyle w:val="CharStyle7"/>
          <w:lang w:val="en-US" w:eastAsia="en-US"/>
        </w:rPr>
        <w:t xml:space="preserve">, </w:t>
      </w:r>
      <w:r>
        <w:rPr>
          <w:rStyle w:val="CharStyle7"/>
        </w:rPr>
        <w:t xml:space="preserve">по итогам рассмотрения жалобы ООО «Роза ветров»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ИОГЕН РАН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Заказчик) при проведении открытого конкурса в электронной форме на право заключения государственного контракта на выполнение капитального ремонта здания Федерального государственного бюджетного учреждения науки Института общей генетики им. Н.И. Вавилова Российской академии наук, расположенного по адресу: г. Москва, ул. Губкина, д.3 (Закупка </w:t>
      </w:r>
      <w:r>
        <w:rPr>
          <w:rStyle w:val="CharStyle7"/>
          <w:lang w:val="en-US" w:eastAsia="en-US"/>
        </w:rPr>
        <w:t xml:space="preserve">№ 0373100002426000005)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конкурс, электронный конкурс),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6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7"/>
        </w:rPr>
        <w:t xml:space="preserve">Заказчику, комиссии по осуществлению закупок отменить Протокол рассмотрения и оценки вторых частей заявок, Протокол подведения итогов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Протоколы) и назначить новую дату рассмотрения вторых частей заявок на участие в конкурсах. При этом дата рассмотрения вторых частей заявок должна быть назначена не ранее чем через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>рабочих дня со дня отмены Протоколов.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6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настоящего предписания уведомить участников закупки, подавших заявки на участие в конкурсе, в том числе Заявителя, об отмене Протоколов, о новой дате рассмотрения вторых частей заявок на участие в конкурсе, а также о необходимости наличия на счетах для проведения операций по обеспечению участия в конкурсах, открытых участникам закупки, денежных средств в размере обеспечения заявки на участие в конкурсах, о блокировании операций в отношении указанных средств, в случае если в их отношении блокирование прекращено.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6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7"/>
        </w:rPr>
        <w:t xml:space="preserve">Оператору электронной площадки осуществить блокирование операций по счетам для проведения операций по обеспечению участия в конкурсе, открытых участникам закупки, в отношении денежных средств в размере обеспечения заявки на участие в конкурсе через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рабочих дня со дня направления Оператором электронной площадки уведомления, указанного в пункте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>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6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7"/>
        </w:rPr>
        <w:t xml:space="preserve">Комиссии по осуществлению закупок рассмотреть вторые части заявок, поданных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18.05.2026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№077/06/105-6262/2026</w:t>
      </w:r>
      <w:r>
        <w:rPr>
          <w:rStyle w:val="CharStyle7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6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7"/>
        </w:rPr>
        <w:t xml:space="preserve">Заказчику, комиссии по осуществлению закупок,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18.05.2026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№077/06/105</w:t>
        <w:softHyphen/>
        <w:t>6262/2026</w:t>
      </w:r>
      <w:r>
        <w:rPr>
          <w:rStyle w:val="CharStyle7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6" w:val="left"/>
        </w:tabs>
        <w:bidi w:val="0"/>
        <w:spacing w:before="0" w:after="280" w:line="240" w:lineRule="auto"/>
        <w:ind w:left="0" w:right="0" w:firstLine="600"/>
        <w:jc w:val="both"/>
      </w:pPr>
      <w:r>
        <w:rPr>
          <w:rStyle w:val="CharStyle7"/>
        </w:rPr>
        <w:t xml:space="preserve">Заказчику, комиссии по осуществлению закупок, Оператору электронной площадки в срок </w:t>
      </w:r>
      <w:r>
        <w:rPr>
          <w:rStyle w:val="CharStyle7"/>
          <w:b/>
          <w:bCs/>
        </w:rPr>
        <w:t xml:space="preserve">до </w:t>
      </w:r>
      <w:r>
        <w:rPr>
          <w:rStyle w:val="CharStyle7"/>
          <w:b/>
          <w:bCs/>
          <w:lang w:val="en-US" w:eastAsia="en-US"/>
        </w:rPr>
        <w:t xml:space="preserve">18.06.2026 </w:t>
      </w:r>
      <w:r>
        <w:rPr>
          <w:rStyle w:val="CharStyle7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</w:t>
      </w:r>
      <w:r>
        <w:rPr>
          <w:rStyle w:val="CharStyle7"/>
          <w:lang w:val="en-US" w:eastAsia="en-US"/>
        </w:rPr>
        <w:t xml:space="preserve">8(495) 607-42-92), </w:t>
      </w:r>
      <w:r>
        <w:rPr>
          <w:rStyle w:val="CharStyle7"/>
        </w:rPr>
        <w:t xml:space="preserve">или 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7"/>
          <w:lang w:val="en-US" w:eastAsia="en-US"/>
        </w:rPr>
        <w:t>to77@fas.gov.ru</w:t>
      </w:r>
      <w:r>
        <w:fldChar w:fldCharType="end"/>
      </w:r>
      <w:r>
        <w:rPr>
          <w:rStyle w:val="CharStyle7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7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7"/>
        </w:rPr>
        <w:t xml:space="preserve">Настоящее предписание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18.05.2026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№077/06/105-6262/2026 </w:t>
      </w:r>
      <w:r>
        <w:rPr>
          <w:rStyle w:val="CharStyle7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установленным главой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58" w:right="535" w:bottom="1158" w:left="1103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330200" distB="219075" distL="0" distR="0" simplePos="0" relativeHeight="125829382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330200</wp:posOffset>
                </wp:positionV>
                <wp:extent cx="184404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050000000000004pt;margin-top:26.pt;width:145.20000000000002pt;height:19.699999999999999pt;z-index:-125829371;mso-wrap-distance-left:0;mso-wrap-distance-top:26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3225" distB="0" distL="0" distR="1786255" simplePos="0" relativeHeight="125829384" behindDoc="0" locked="0" layoutInCell="1" allowOverlap="1">
            <wp:simplePos x="0" y="0"/>
            <wp:positionH relativeFrom="page">
              <wp:posOffset>3032125</wp:posOffset>
            </wp:positionH>
            <wp:positionV relativeFrom="paragraph">
              <wp:posOffset>403225</wp:posOffset>
            </wp:positionV>
            <wp:extent cx="359410" cy="39624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3452495</wp:posOffset>
                </wp:positionH>
                <wp:positionV relativeFrom="paragraph">
                  <wp:posOffset>491490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1.85000000000002pt;margin-top:38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219075" distL="0" distR="0" simplePos="0" relativeHeight="125829385" behindDoc="0" locked="0" layoutInCell="1" allowOverlap="1">
                <wp:simplePos x="0" y="0"/>
                <wp:positionH relativeFrom="page">
                  <wp:posOffset>5906770</wp:posOffset>
                </wp:positionH>
                <wp:positionV relativeFrom="paragraph">
                  <wp:posOffset>330200</wp:posOffset>
                </wp:positionV>
                <wp:extent cx="1307465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65.10000000000002pt;margin-top:26.pt;width:102.95pt;height:19.699999999999999pt;z-index:-125829368;mso-wrap-distance-left:0;mso-wrap-distance-top:26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9"/>
          <w:color w:val="FFFFFF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Кутейников Антон Андреевич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67950889C45403E5BD9EBC88A8D80C0D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1"/>
        </w:rPr>
        <w:t xml:space="preserve">Действителен с 19.05.2025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12.08.2026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7"/>
        </w:rPr>
        <w:t>Члены Комиссии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31035" simplePos="0" relativeHeight="125829387" behindDoc="0" locked="0" layoutInCell="1" allowOverlap="1">
            <wp:simplePos x="0" y="0"/>
            <wp:positionH relativeFrom="page">
              <wp:posOffset>3062605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3452495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1.85000000000002pt;margin-top:11.8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М.В. Сорбучева</w:t>
      </w:r>
    </w:p>
    <w:p>
      <w:pPr>
        <w:pStyle w:val="Style1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9"/>
          <w:color w:val="FFFFFF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СОРБУЧЕВА МАРИЯ ВАСИЛЬЕВНА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6EBF6CE6C27B6345D47DBCD40C7FA5FD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1"/>
        </w:rPr>
        <w:t xml:space="preserve">Действителен с 19.09.2025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13.12.2026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3032125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3495675</wp:posOffset>
                </wp:positionH>
                <wp:positionV relativeFrom="paragraph">
                  <wp:posOffset>468630</wp:posOffset>
                </wp:positionV>
                <wp:extent cx="1280160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5.25pt;margin-top:36.899999999999999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3452495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1.85000000000002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Е.С. Переверзева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ПЕРЕВЕРЗЕВА ЕЛИЗАВЕТА СЕРГЕЕВНА</w:t>
      </w:r>
      <w:r>
        <w:rPr>
          <w:rStyle w:val="CharStyle21"/>
          <w:color w:val="000000"/>
        </w:rPr>
        <w:t xml:space="preserve"> </w:t>
      </w: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00FFF3ACD3A01A73F4C680C3941</w:t>
      </w:r>
      <w:r>
        <w:rPr>
          <w:rStyle w:val="CharStyle21"/>
        </w:rPr>
        <w:t>ЕЗСА026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4920" w:line="266" w:lineRule="auto"/>
        <w:ind w:right="0" w:firstLine="0"/>
        <w:jc w:val="left"/>
      </w:pPr>
      <w:r>
        <w:rPr>
          <w:rStyle w:val="CharStyle21"/>
        </w:rPr>
        <w:t xml:space="preserve">Действителен с 11.12.2025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06.03.2027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6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79" w:right="532" w:bottom="1479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729615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</w:rPr>
                            <w:t>2026-24592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450000000000003pt;margin-top:794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</w:rPr>
                      <w:t>2026-24592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10217150</wp:posOffset>
              </wp:positionV>
              <wp:extent cx="734695" cy="12192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</w:rPr>
                            <w:t>2026-24592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950000000000003pt;margin-top:804.5pt;width:57.850000000000001pt;height:9.59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</w:rPr>
                      <w:t>2026-24592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509270</wp:posOffset>
              </wp:positionV>
              <wp:extent cx="76200" cy="698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2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19999999999999pt;margin-top:40.100000000000001pt;width:6.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2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Picture caption_"/>
    <w:basedOn w:val="DefaultParagraphFont"/>
    <w:link w:val="Style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2">
    <w:name w:val="Header or footer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6">
    <w:name w:val="Heading #1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lang w:val="en-US" w:eastAsia="en-US"/>
    </w:rPr>
  </w:style>
  <w:style w:type="character" w:customStyle="1" w:styleId="CharStyle19">
    <w:name w:val="Body text (4)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6">
    <w:name w:val="Body text (5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Picture caption"/>
    <w:basedOn w:val="Normal"/>
    <w:link w:val="CharStyle1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1">
    <w:name w:val="Header or footer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5">
    <w:name w:val="Heading #1"/>
    <w:basedOn w:val="Normal"/>
    <w:link w:val="CharStyle16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lang w:val="en-US" w:eastAsia="en-US"/>
    </w:rPr>
  </w:style>
  <w:style w:type="paragraph" w:customStyle="1" w:styleId="Style18">
    <w:name w:val="Body text (4)"/>
    <w:basedOn w:val="Normal"/>
    <w:link w:val="CharStyle19"/>
    <w:pPr>
      <w:widowControl w:val="0"/>
      <w:shd w:val="clear" w:color="auto" w:fill="auto"/>
      <w:spacing w:after="100"/>
      <w:ind w:left="440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  <w:ind w:left="37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5">
    <w:name w:val="Body text (5)"/>
    <w:basedOn w:val="Normal"/>
    <w:link w:val="CharStyle26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