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Республике Дагестан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3"/>
        </w:rPr>
        <w:t>367000, г. Махачкала, пл. Ленина, 2</w:t>
        <w:br/>
        <w:t>тел.: (8722) 67-20-95, факс: (8722) 67-21-41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"mailto:to05@fas.gov.ru" </w:instrText>
      </w:r>
      <w:r>
        <w:fldChar w:fldCharType="separate"/>
      </w:r>
      <w:r>
        <w:rPr>
          <w:rStyle w:val="CharStyle3"/>
          <w:lang w:val="en-US" w:eastAsia="en-US"/>
        </w:rPr>
        <w:t>to05@fas.gov.ru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1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8.0О26</w:t>
      </w:r>
      <w:r>
        <w:fldChar w:fldCharType="end"/>
      </w:r>
      <w:r>
        <w:rPr>
          <w:rStyle w:val="CharStyle11"/>
        </w:rPr>
        <w:t xml:space="preserve"> № </w:t>
      </w:r>
      <w:r>
        <w:rPr>
          <w:rStyle w:val="CharStyle11"/>
          <w:u w:val="single"/>
        </w:rPr>
        <w:t>ХМ/2399/2</w:t>
      </w:r>
      <w:r>
        <w:rPr>
          <w:rStyle w:val="CharStyle11"/>
        </w:rPr>
        <w:t>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5"/>
          <w:sz w:val="24"/>
          <w:szCs w:val="24"/>
        </w:rPr>
        <w:t>Решение № 005/06/105-519/2026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ООО «РТС-тендер»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121151, г. Москва, набережная Тараса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Шевченко, д.23-А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5"/>
          <w:lang w:val="en-US" w:eastAsia="en-US"/>
        </w:rPr>
        <w:t>KO@rts-tender.ru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ГОСУДАРСТВЕННОЕ КАЗЕННОЕ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УЧРЕЖДЕНИЕ РЕСПУБЛИКИ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ДАГЕСТАН "ДИРЕКЦИЯ ПО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СТРОИТЕЛЬСТВУ И РЕКОНСТРУКЦИИ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ОБЪЕКТОВ СПОРТА"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5"/>
        </w:rPr>
        <w:t>Российская Федерация, 367025, Дагестан Респ, П СТЕПНОЙ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Комитет по государственным закупкам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Республики Дагестан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367000 г.Махачкала, ул. Абубакарова, 67 (5 этаж)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"mailto:zakupki@e-dag.ru" </w:instrText>
      </w:r>
      <w:r>
        <w:fldChar w:fldCharType="separate"/>
      </w:r>
      <w:r>
        <w:rPr>
          <w:rStyle w:val="CharStyle15"/>
          <w:lang w:val="en-US" w:eastAsia="en-US"/>
        </w:rPr>
        <w:t>zakupki@e-dag.ru</w:t>
      </w:r>
      <w:r>
        <w:fldChar w:fldCharType="end"/>
      </w:r>
      <w:r>
        <w:rPr>
          <w:rStyle w:val="CharStyle15"/>
          <w:lang w:val="en-US" w:eastAsia="en-US"/>
        </w:rPr>
        <w:t xml:space="preserve">; </w:t>
      </w:r>
      <w:r>
        <w:fldChar w:fldCharType="begin"/>
      </w:r>
      <w:r>
        <w:rPr/>
        <w:instrText> HYPERLINK "mailto:kgzinfo@mail.ru" </w:instrText>
      </w:r>
      <w:r>
        <w:fldChar w:fldCharType="separate"/>
      </w:r>
      <w:r>
        <w:rPr>
          <w:rStyle w:val="CharStyle15"/>
          <w:lang w:val="en-US" w:eastAsia="en-US"/>
        </w:rPr>
        <w:t>kgzinfo@mail.ru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МЕЛЬНИЧКИН ЕВГЕНИЙ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ВЛАДИМИРОВИЧ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641641, КУРГАНСКАЯ ОБЛАСТЬ ПЕТУХОВСКИЙ, Г ПЕТУХОВО, УЛ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172" w:right="680" w:bottom="1217" w:left="1130" w:header="744" w:footer="3" w:gutter="0"/>
          <w:pgNumType w:start="1"/>
          <w:cols w:num="2" w:space="720" w:equalWidth="0">
            <w:col w:w="4296" w:space="979"/>
            <w:col w:w="4814"/>
          </w:cols>
          <w:noEndnote/>
          <w:rtlGutter w:val="0"/>
          <w:docGrid w:linePitch="360"/>
        </w:sectPr>
      </w:pPr>
      <w:r>
        <w:rPr>
          <w:rStyle w:val="CharStyle15"/>
        </w:rPr>
        <w:t>РАБОЧАЯ, Д. 59, КВ. 4</w:t>
      </w:r>
    </w:p>
    <w:p>
      <w:pPr>
        <w:widowControl w:val="0"/>
        <w:spacing w:before="116" w:after="11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72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  <w:b/>
          <w:bCs/>
        </w:rPr>
        <w:t>Р Е Ш Е Н И Е № 005/06/105-519/2026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</w:rPr>
        <w:t>Комиссии Управления ФАС России по Республике Дагестан</w:t>
        <w:br/>
        <w:t>по контролю в сфере закупок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102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1156335</wp:posOffset>
                </wp:positionH>
                <wp:positionV relativeFrom="paragraph">
                  <wp:posOffset>12700</wp:posOffset>
                </wp:positionV>
                <wp:extent cx="892810" cy="22860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281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27.04.2026 г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91.049999999999997pt;margin-top:1.pt;width:70.299999999999997pt;height:18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27.04.2026 г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5"/>
        </w:rPr>
        <w:t>г. Махачкала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Комиссия Управления ФАС России по Республике Дагестан по контролю в сфере закупок (далее – 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Ведущего заседание Комиссии – Халмурзиева М.М. – Заместителя руководителя Дагестанского УФАС России.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Членов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Магомедова А.Ш. – Начальника отдела контроля закупок Дагестанского УФАС России;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Магомедова К.Г. – Заместителя начальника отдела контроля закупок Дагестанского УФАС России,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20"/>
        <w:jc w:val="both"/>
      </w:pPr>
      <w:r>
        <w:rPr>
          <w:rStyle w:val="CharStyle15"/>
        </w:rPr>
        <w:t>рассмотрев жалобу ИП Мельничкина Евгения Владимировича (далее – Заявитель) на действия (бездействие) ГКУ РД «ДИРЕКЦИЯ ПО СТРОИТЕЛЬСТВУ И РЕКОНСТРУКЦИИ ОБЪЕКТОВ СПОРТА» (далее – Заказчик) при проведении Комитетом по государственным закупкам Республики Дагестан (далее – Уполномоченный орган)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72" w:right="541" w:bottom="1217" w:left="1097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rStyle w:val="CharStyle19"/>
        </w:rPr>
        <w:t>1IIIIIIIIIIIIIIIIIIIIIII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процедуры закупки способом открытого конкурса в электронной форме </w:t>
      </w:r>
      <w:r>
        <w:rPr>
          <w:rStyle w:val="CharStyle15"/>
          <w:lang w:val="en-US" w:eastAsia="en-US"/>
        </w:rPr>
        <w:t xml:space="preserve">№ 0103200008426002535 </w:t>
      </w:r>
      <w:r>
        <w:rPr>
          <w:rStyle w:val="CharStyle15"/>
        </w:rPr>
        <w:t xml:space="preserve">«поставка и монтаж спортивного оборудования для площадок ГТО в с. Нурадилово Хасавюртовского района Республики Дагестан»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Конкурс),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присутствии представителя Заказчика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Рамазанова С.М. (по доверенности);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>в отсутствии представителей иных сторон (извещены),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  <w:b/>
          <w:bCs/>
        </w:rPr>
        <w:t>У С Т А Н О В И Л 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19.04.2026г. в Дагестанское УФАС России поступила жалоба Заявителя на действия Заказчика при проведении Конкурса.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жалобе указывается на несоответствие извещения о проведении Конкурса требованиям законодательства о контрактной системе в сфере закупок.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Заседание Комиссии Дагестанского УФАС России по контролю в сфере закупок было назначено на 24.04.2026г. в </w:t>
      </w:r>
      <w:r>
        <w:rPr>
          <w:rStyle w:val="CharStyle15"/>
          <w:lang w:val="en-US" w:eastAsia="en-US"/>
        </w:rPr>
        <w:t xml:space="preserve">11 </w:t>
      </w:r>
      <w:r>
        <w:rPr>
          <w:rStyle w:val="CharStyle15"/>
        </w:rPr>
        <w:t xml:space="preserve">часов </w:t>
      </w:r>
      <w:r>
        <w:rPr>
          <w:rStyle w:val="CharStyle15"/>
          <w:lang w:val="en-US" w:eastAsia="en-US"/>
        </w:rPr>
        <w:t xml:space="preserve">00 </w:t>
      </w:r>
      <w:r>
        <w:rPr>
          <w:rStyle w:val="CharStyle15"/>
        </w:rPr>
        <w:t xml:space="preserve">минут по адресу: г. Махачкала, пл. Ленина, </w:t>
      </w:r>
      <w:r>
        <w:rPr>
          <w:rStyle w:val="CharStyle15"/>
          <w:lang w:val="en-US" w:eastAsia="en-US"/>
        </w:rPr>
        <w:t xml:space="preserve">2, 4- </w:t>
      </w:r>
      <w:r>
        <w:rPr>
          <w:rStyle w:val="CharStyle15"/>
        </w:rPr>
        <w:t>этаж.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связи с необходимостью получения от сторон дополнительных документов и сведений, а также изучения представленных материалов, заседание Комиссии было перенесено на 27.04.2026г. в </w:t>
      </w:r>
      <w:r>
        <w:rPr>
          <w:rStyle w:val="CharStyle15"/>
          <w:lang w:val="en-US" w:eastAsia="en-US"/>
        </w:rPr>
        <w:t xml:space="preserve">16 </w:t>
      </w:r>
      <w:r>
        <w:rPr>
          <w:rStyle w:val="CharStyle15"/>
        </w:rPr>
        <w:t xml:space="preserve">часов </w:t>
      </w:r>
      <w:r>
        <w:rPr>
          <w:rStyle w:val="CharStyle15"/>
          <w:lang w:val="en-US" w:eastAsia="en-US"/>
        </w:rPr>
        <w:t xml:space="preserve">00 </w:t>
      </w:r>
      <w:r>
        <w:rPr>
          <w:rStyle w:val="CharStyle15"/>
        </w:rPr>
        <w:t xml:space="preserve">минут по адресу: г. Махачкала, пл. Ленина, </w:t>
      </w:r>
      <w:r>
        <w:rPr>
          <w:rStyle w:val="CharStyle15"/>
          <w:lang w:val="en-US" w:eastAsia="en-US"/>
        </w:rPr>
        <w:t xml:space="preserve">2, 4- </w:t>
      </w:r>
      <w:r>
        <w:rPr>
          <w:rStyle w:val="CharStyle15"/>
        </w:rPr>
        <w:t>этаж.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Единая информационная система), а также на электронной площадке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ООО «РТС-тендер»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Оператор электронной площадки), Комиссия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03.04.2026 </w:t>
      </w:r>
      <w:r>
        <w:rPr>
          <w:rStyle w:val="CharStyle15"/>
        </w:rPr>
        <w:t>Уполномоченным органом в Единой информационной системе было размещено извещение о проведении Конкурса.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Начальная (максимальная) цена контракта </w:t>
      </w:r>
      <w:r>
        <w:rPr>
          <w:rStyle w:val="CharStyle15"/>
          <w:lang w:val="en-US" w:eastAsia="en-US"/>
        </w:rPr>
        <w:t xml:space="preserve">– 2 956 832,00 </w:t>
      </w:r>
      <w:r>
        <w:rPr>
          <w:rStyle w:val="CharStyle15"/>
        </w:rPr>
        <w:t>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жалобе Заявителя, Заказчиком выбран некорректный код ОКПД2, который позволил Заказчику провести закупку способом открытого конкурса, а не аукциона, а именно в извещении о проведении закупки установлено, что поставляется, в том числе, следующий товар </w:t>
      </w:r>
      <w:r>
        <w:rPr>
          <w:rStyle w:val="CharStyle15"/>
          <w:lang w:val="en-US" w:eastAsia="en-US"/>
        </w:rPr>
        <w:t xml:space="preserve">- 42.99.12.110 - </w:t>
      </w:r>
      <w:r>
        <w:rPr>
          <w:rStyle w:val="CharStyle15"/>
        </w:rPr>
        <w:t xml:space="preserve">Плитка резиновая. Распоряжением Правительства РФ от </w:t>
      </w:r>
      <w:r>
        <w:rPr>
          <w:rStyle w:val="CharStyle15"/>
          <w:lang w:val="en-US" w:eastAsia="en-US"/>
        </w:rPr>
        <w:t xml:space="preserve">21.03.2016 N </w:t>
      </w:r>
      <w:r>
        <w:rPr>
          <w:rStyle w:val="CharStyle15"/>
        </w:rPr>
        <w:t xml:space="preserve">471-р утвержден перечень товаров, работ, услуг, в случае осуществления закупок которых заказчик обязан проводить аукционы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Перечень). Вместе с тем, в соответствии с письмом ФАС России от </w:t>
      </w:r>
      <w:r>
        <w:rPr>
          <w:rStyle w:val="CharStyle15"/>
          <w:lang w:val="en-US" w:eastAsia="en-US"/>
        </w:rPr>
        <w:t xml:space="preserve">13 </w:t>
      </w:r>
      <w:r>
        <w:rPr>
          <w:rStyle w:val="CharStyle15"/>
        </w:rPr>
        <w:t xml:space="preserve">марта </w:t>
      </w:r>
      <w:r>
        <w:rPr>
          <w:rStyle w:val="CharStyle15"/>
          <w:lang w:val="en-US" w:eastAsia="en-US"/>
        </w:rPr>
        <w:t xml:space="preserve">2019 </w:t>
      </w:r>
      <w:r>
        <w:rPr>
          <w:rStyle w:val="CharStyle15"/>
        </w:rPr>
        <w:t xml:space="preserve">года </w:t>
      </w:r>
      <w:r>
        <w:rPr>
          <w:rStyle w:val="CharStyle15"/>
          <w:lang w:val="en-US" w:eastAsia="en-US"/>
        </w:rPr>
        <w:t xml:space="preserve">N </w:t>
      </w:r>
      <w:r>
        <w:rPr>
          <w:rStyle w:val="CharStyle15"/>
        </w:rPr>
        <w:t xml:space="preserve">ИА/19176/19 выбор кода ОКПД2 не должен осуществляться с целью изменения способа определения поставщика (подрядчика, исполнителя) или иных неправомерных действий, которые могут возникнуть, в случае указания неверного кода. Кроме того, в случае если в предмете закупки содержатся услуги (товары, работы), включенные и не включенные в Перечень, Заказчик в соответствии с Законом о контрактной системе осуществляет закупку путем проведения электронного аукциона. В то же время, предусмотрен иной код ОКПД2 для товара плитка резиновая </w:t>
      </w:r>
      <w:r>
        <w:rPr>
          <w:rStyle w:val="CharStyle15"/>
          <w:lang w:val="en-US" w:eastAsia="en-US"/>
        </w:rPr>
        <w:t xml:space="preserve">- 22.19.72.000 - 00000005 - </w:t>
      </w:r>
      <w:r>
        <w:rPr>
          <w:rStyle w:val="CharStyle15"/>
        </w:rPr>
        <w:t xml:space="preserve">покрытие спортивное резиновое, ОКПД2 </w:t>
      </w:r>
      <w:r>
        <w:rPr>
          <w:rStyle w:val="CharStyle15"/>
          <w:lang w:val="en-US" w:eastAsia="en-US"/>
        </w:rPr>
        <w:t xml:space="preserve">32.99.53.190 </w:t>
      </w:r>
      <w:r>
        <w:rPr>
          <w:rStyle w:val="CharStyle15"/>
        </w:rPr>
        <w:t>(Модели, макеты и аналогичные изделия демонстрационные прочие) Данные группы товаров содержатся в Перечне.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 заказчик размещает в составе извещения об осуществлении закупки описание объекта закупки, сформированное в соответствии с положениями 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720"/>
        <w:jc w:val="both"/>
        <w:rPr>
          <w:sz w:val="24"/>
          <w:szCs w:val="24"/>
        </w:rPr>
        <w:sectPr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119" w:right="550" w:bottom="583" w:left="1101" w:header="691" w:footer="155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</w:t>
      </w:r>
      <w:r>
        <w:rPr>
          <w:rStyle w:val="CharStyle15"/>
          <w:sz w:val="24"/>
          <w:szCs w:val="24"/>
          <w:lang w:val="en-US" w:eastAsia="en-US"/>
        </w:rPr>
        <w:t>2026-2482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размещает в единой информационной системе извещение об осуществлении закупки, содержащее следующую информацию: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23 </w:t>
      </w:r>
      <w:r>
        <w:rPr>
          <w:rStyle w:val="CharStyle15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 группировочные наименования.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23 </w:t>
      </w:r>
      <w:r>
        <w:rPr>
          <w:rStyle w:val="CharStyle15"/>
        </w:rPr>
        <w:t>Закона о контрактной системе,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Постановлением Правительства Российской Федерации </w:t>
      </w:r>
      <w:r>
        <w:rPr>
          <w:rStyle w:val="CharStyle15"/>
          <w:lang w:val="en-US" w:eastAsia="en-US"/>
        </w:rPr>
        <w:t xml:space="preserve">N 145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 xml:space="preserve">08.02.2017 </w:t>
      </w:r>
      <w:r>
        <w:rPr>
          <w:rStyle w:val="CharStyle15"/>
        </w:rPr>
        <w:t xml:space="preserve">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правила формирования)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Правила использования).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пункту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Правил формирования под каталогом товаров, работ, услуг для обеспечения государственных и муниципальных нужд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каталог) понимается систематизированный перечень товаров, работ, услуг, закупаемых для обеспечения государственных и муниципальных нужд, сформированный на основе Общероссийского классификатора продукции по видам экономической деятельности (ОКПД2) ОК </w:t>
      </w:r>
      <w:r>
        <w:rPr>
          <w:rStyle w:val="CharStyle15"/>
          <w:lang w:val="en-US" w:eastAsia="en-US"/>
        </w:rPr>
        <w:t xml:space="preserve">034-2014 </w:t>
      </w:r>
      <w:r>
        <w:rPr>
          <w:rStyle w:val="CharStyle15"/>
        </w:rPr>
        <w:t>и включающий в себя информацию в соответствии с Правилами.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Правил формирования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(ОКПД2) ОК </w:t>
      </w:r>
      <w:r>
        <w:rPr>
          <w:rStyle w:val="CharStyle15"/>
          <w:lang w:val="en-US" w:eastAsia="en-US"/>
        </w:rPr>
        <w:t>034-2014.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п. </w:t>
      </w:r>
      <w:r>
        <w:rPr>
          <w:rStyle w:val="CharStyle15"/>
          <w:lang w:val="en-US" w:eastAsia="en-US"/>
        </w:rPr>
        <w:t xml:space="preserve">7 </w:t>
      </w:r>
      <w:r>
        <w:rPr>
          <w:rStyle w:val="CharStyle15"/>
        </w:rPr>
        <w:t xml:space="preserve">Правил использования,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42, </w:t>
      </w: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75 </w:t>
      </w:r>
      <w:r>
        <w:rPr>
          <w:rStyle w:val="CharStyle15"/>
        </w:rPr>
        <w:t>Федерального закона соответственно.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 установлено,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соответствии с извещением о проведении закупки, предметом закупки является поставка и монтаж спортивного оборудования для площадок ГТО.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Представитель Заказчика на заседании комиссии пояснил, что в соответствии с п. </w:t>
      </w:r>
      <w:r>
        <w:rPr>
          <w:rStyle w:val="CharStyle15"/>
          <w:lang w:val="en-US" w:eastAsia="en-US"/>
        </w:rPr>
        <w:t xml:space="preserve">9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N 4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N 1661 </w:t>
      </w:r>
      <w:r>
        <w:rPr>
          <w:rStyle w:val="CharStyle15"/>
        </w:rPr>
        <w:t xml:space="preserve">и приказом Минспорта России от </w:t>
      </w:r>
      <w:r>
        <w:rPr>
          <w:rStyle w:val="CharStyle15"/>
          <w:lang w:val="en-US" w:eastAsia="en-US"/>
        </w:rPr>
        <w:t xml:space="preserve">17.10.2025 N 852 </w:t>
      </w:r>
      <w:r>
        <w:rPr>
          <w:rStyle w:val="CharStyle15"/>
        </w:rPr>
        <w:t xml:space="preserve">"О внесении изменений в перечень спортивно-технологического оборудования для создания малых спортивных площадкой, утвержденный приказом Минспорта России от </w:t>
      </w:r>
      <w:r>
        <w:rPr>
          <w:rStyle w:val="CharStyle15"/>
          <w:lang w:val="en-US" w:eastAsia="en-US"/>
        </w:rPr>
        <w:t xml:space="preserve">21.12.2024 N 1286". </w:t>
      </w:r>
      <w:r>
        <w:rPr>
          <w:rStyle w:val="CharStyle15"/>
        </w:rPr>
        <w:t xml:space="preserve">Решение о приобретении спортивно-технологического оборудования для создания малой спортивной площадки в составе единого комплекта обусловлено его эксплуатацией на открытом воздухе и требованиями Заказчика к единообразию приобретаемого оборудования, высокой прочности с учетом нагрузок и устойчивости к воздействиям окружающей среды, надежной фиксации конструкций к основанию с целью обеспечения травмобезопасности занимающегося на площадке. Так как предметом закупки является единый комплектный товар, состав оборудования является неотъемлемой частью малой спортивной площадки, монтируется в единую конструкцию и не может рассматриваться как самостоятельная поставка товаров, был выбран код ОКПД2 </w:t>
      </w:r>
      <w:r>
        <w:rPr>
          <w:rStyle w:val="CharStyle15"/>
          <w:lang w:val="en-US" w:eastAsia="en-US"/>
        </w:rPr>
        <w:t xml:space="preserve">42.99.12.110 </w:t>
      </w:r>
      <w:r>
        <w:rPr>
          <w:rStyle w:val="CharStyle15"/>
        </w:rPr>
        <w:t>"Площадки спортивные для спортивных игр на открытом воздухе", что позволяет приобрести спортивно-технологическое оборудование в совокупности.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Кроме того, код ОКПД2, указанный Заявителем для товара плитка резиновая- </w:t>
      </w:r>
      <w:r>
        <w:rPr>
          <w:rStyle w:val="CharStyle15"/>
          <w:lang w:val="en-US" w:eastAsia="en-US"/>
        </w:rPr>
        <w:t xml:space="preserve">22.19.72.000-00000005 - </w:t>
      </w:r>
      <w:r>
        <w:rPr>
          <w:rStyle w:val="CharStyle15"/>
        </w:rPr>
        <w:t xml:space="preserve">покрытие спортивное резиновое, входит в значение классификатора </w:t>
      </w:r>
      <w:r>
        <w:rPr>
          <w:rStyle w:val="CharStyle15"/>
          <w:lang w:val="en-US" w:eastAsia="en-US"/>
        </w:rPr>
        <w:t xml:space="preserve">22.19.72.000: </w:t>
      </w:r>
      <w:r>
        <w:rPr>
          <w:rStyle w:val="CharStyle15"/>
        </w:rPr>
        <w:t xml:space="preserve">покрытия и коврики напольные из вулканизированной резины, кроме пористой. Ввиду того, что монтаж спортивно-технологического оборудования предполагается на открытом воздухе, приобретение резиновых напольных покрытий не соответствует предмету закупки. Код ОКПД2 </w:t>
      </w:r>
      <w:r>
        <w:rPr>
          <w:rStyle w:val="CharStyle15"/>
          <w:lang w:val="en-US" w:eastAsia="en-US"/>
        </w:rPr>
        <w:t xml:space="preserve">32.99.53.190 </w:t>
      </w:r>
      <w:r>
        <w:rPr>
          <w:rStyle w:val="CharStyle15"/>
        </w:rPr>
        <w:t>(Модели, макеты и аналогичные изделия демонстрационные прочие) вовсе не имеет отношения к предмету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105 </w:t>
      </w:r>
      <w:r>
        <w:rPr>
          <w:rStyle w:val="CharStyle15"/>
        </w:rPr>
        <w:t>Закона о контрактной системе при проведении электронных процедур жалоба может быть подана в контрольные органы в сфере закупок, и должна содержать указание на обжалуемые действия (бездействие) субъекта (субъектов) контроля, доводы жалобы.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Согласно части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>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Из приведённой нормы Закона о контрактной системе следует, что жалоба должна содержать доводы, свидетельствующие о нарушении Заказчиком, уполномоченным органом, требований Закона о контрактной системе и его законных прав и интересов, а также может представить соответствующие доказательства.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При этом Заявитель на рассмотрение жалобы не явился, и доказательств свидетельствующих о том, что обжалуемое положения Извещения ограничивает количество участников закупки, дает преимущества определенным лицам и затрудняет исполнения контракта Комиссии Управления не представлено.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Согласно положениям законодательства Российской Федерации о контрактной системе в сфере закупок орган, уполномоченный на осуществление контроля в сфере закупок, принимает решение на основании документов и сведений, представленных на заседание комиссии, с учетом обстоятельств дела, установленных комиссией.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С учетом изложенного, в рассматриваемом случае, Комиссия Управления приходит к выводу о необоснованности жалобы Заявителя.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На основании изложенного, руководствуясь ст.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>и ст.99 Закона о контрактной системе, Комиссия,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  <w:b/>
          <w:bCs/>
        </w:rPr>
        <w:t>Р Е Ш И Л 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079" w:right="545" w:bottom="1151" w:left="1101" w:header="651" w:footer="3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>Жалобу Заявителя признать необоснованной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4" w:right="0" w:bottom="9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2674" w:h="365" w:wrap="none" w:vAnchor="text" w:hAnchor="page" w:x="116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Председатель комиссии</w:t>
      </w:r>
    </w:p>
    <w:p>
      <w:pPr>
        <w:pStyle w:val="Style20"/>
        <w:keepNext w:val="0"/>
        <w:keepLines w:val="0"/>
        <w:framePr w:w="2712" w:h="408" w:wrap="none" w:vAnchor="text" w:hAnchor="page" w:x="4928" w:y="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4"/>
        <w:keepNext w:val="0"/>
        <w:keepLines w:val="0"/>
        <w:framePr w:w="2045" w:h="365" w:wrap="none" w:vAnchor="text" w:hAnchor="page" w:x="926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5"/>
        </w:rPr>
        <w:t>М.М. Халмурзиев</w:t>
      </w:r>
    </w:p>
    <w:p>
      <w:pPr>
        <w:widowControl w:val="0"/>
        <w:spacing w:after="709" w:line="1" w:lineRule="exact"/>
      </w:pPr>
      <w:r>
        <w:drawing>
          <wp:anchor distT="0" distB="0" distL="0" distR="1804670" simplePos="0" relativeHeight="62914694" behindDoc="1" locked="0" layoutInCell="1" allowOverlap="1">
            <wp:simplePos x="0" y="0"/>
            <wp:positionH relativeFrom="page">
              <wp:posOffset>2732405</wp:posOffset>
            </wp:positionH>
            <wp:positionV relativeFrom="paragraph">
              <wp:posOffset>85090</wp:posOffset>
            </wp:positionV>
            <wp:extent cx="316865" cy="36576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4" w:right="545" w:bottom="971" w:left="1101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  <w:sz w:val="11"/>
          <w:szCs w:val="11"/>
        </w:rPr>
        <w:t>ХАЛМУРЗИЕВ МАГОМЕД МУССАЕВИЧ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00FB2D43ABF74BCE5937F5925D99EBDEC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Действителен с 03.04.2025 </w:t>
      </w:r>
      <w:r>
        <w:rPr>
          <w:rStyle w:val="CharStyle25"/>
          <w:color w:val="585858"/>
        </w:rPr>
        <w:t xml:space="preserve">по </w:t>
      </w:r>
      <w:r>
        <w:rPr>
          <w:rStyle w:val="CharStyle25"/>
        </w:rPr>
        <w:t>27.06.2026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4" w:right="4127" w:bottom="8714" w:left="181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2400" distB="219710" distL="0" distR="0" simplePos="0" relativeHeight="12582938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152400</wp:posOffset>
                </wp:positionV>
                <wp:extent cx="1237615" cy="22860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761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950000000000003pt;margin-top:12.pt;width:97.450000000000003pt;height:18.pt;z-index:-125829373;mso-wrap-distance-left:0;mso-wrap-distance-top:12.pt;mso-wrap-distance-right:0;mso-wrap-distance-bottom:17.3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34950" distB="0" distL="0" distR="1804670" simplePos="0" relativeHeight="125829382" behindDoc="0" locked="0" layoutInCell="1" allowOverlap="1">
            <wp:simplePos x="0" y="0"/>
            <wp:positionH relativeFrom="page">
              <wp:posOffset>2732405</wp:posOffset>
            </wp:positionH>
            <wp:positionV relativeFrom="paragraph">
              <wp:posOffset>234950</wp:posOffset>
            </wp:positionV>
            <wp:extent cx="316865" cy="36576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3125470</wp:posOffset>
                </wp:positionH>
                <wp:positionV relativeFrom="paragraph">
                  <wp:posOffset>304800</wp:posOffset>
                </wp:positionV>
                <wp:extent cx="1725295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6.09999999999999pt;margin-top:24.pt;width:135.84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219710" distL="0" distR="0" simplePos="0" relativeHeight="125829383" behindDoc="0" locked="0" layoutInCell="1" allowOverlap="1">
                <wp:simplePos x="0" y="0"/>
                <wp:positionH relativeFrom="page">
                  <wp:posOffset>5941695</wp:posOffset>
                </wp:positionH>
                <wp:positionV relativeFrom="paragraph">
                  <wp:posOffset>152400</wp:posOffset>
                </wp:positionV>
                <wp:extent cx="1222375" cy="22860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237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А.Ш. Магомедов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7.85000000000002pt;margin-top:12.pt;width:96.25pt;height:18.pt;z-index:-125829370;mso-wrap-distance-left:0;mso-wrap-distance-top:12.pt;mso-wrap-distance-right:0;mso-wrap-distance-bottom:17.3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А.Ш. Магомедов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180"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  <w:sz w:val="11"/>
          <w:szCs w:val="11"/>
        </w:rPr>
        <w:t>Магомедов Алик Шейхалиевич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00E7122BA0A5A5324190DCBC9FAB8415C</w:t>
      </w:r>
      <w:r>
        <w:rPr>
          <w:rStyle w:val="CharStyle25"/>
          <w:lang w:val="en-US" w:eastAsia="en-US"/>
        </w:rPr>
        <w:t>?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4" w:right="4127" w:bottom="8714" w:left="1817" w:header="0" w:footer="3" w:gutter="0"/>
          <w:cols w:space="720"/>
          <w:noEndnote/>
          <w:rtlGutter w:val="0"/>
          <w:docGrid w:linePitch="360"/>
        </w:sectPr>
      </w:pPr>
      <w:r>
        <w:rPr>
          <w:rStyle w:val="CharStyle25"/>
        </w:rPr>
        <w:t xml:space="preserve">Действителен с 14.05.2025 </w:t>
      </w:r>
      <w:r>
        <w:rPr>
          <w:rStyle w:val="CharStyle25"/>
          <w:color w:val="585858"/>
        </w:rPr>
        <w:t xml:space="preserve">по </w:t>
      </w:r>
      <w:r>
        <w:rPr>
          <w:rStyle w:val="CharStyle25"/>
        </w:rPr>
        <w:t>07.08.2026</w:t>
      </w:r>
    </w:p>
    <w:p>
      <w:pPr>
        <w:widowControl w:val="0"/>
        <w:spacing w:before="119" w:after="1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4" w:right="0" w:bottom="9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0"/>
        <w:keepNext w:val="0"/>
        <w:keepLines w:val="0"/>
        <w:framePr w:w="2717" w:h="408" w:wrap="none" w:vAnchor="text" w:hAnchor="page" w:x="4924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4"/>
        <w:keepNext w:val="0"/>
        <w:keepLines w:val="0"/>
        <w:framePr w:w="1766" w:h="360" w:wrap="none" w:vAnchor="text" w:hAnchor="page" w:x="954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5"/>
        </w:rPr>
        <w:t>К.Г. Магомедов</w:t>
      </w:r>
    </w:p>
    <w:p>
      <w:pPr>
        <w:widowControl w:val="0"/>
        <w:spacing w:line="360" w:lineRule="exact"/>
      </w:pPr>
      <w:r>
        <w:drawing>
          <wp:anchor distT="0" distB="0" distL="0" distR="1786255" simplePos="0" relativeHeight="62914695" behindDoc="1" locked="0" layoutInCell="1" allowOverlap="1">
            <wp:simplePos x="0" y="0"/>
            <wp:positionH relativeFrom="page">
              <wp:posOffset>2708275</wp:posOffset>
            </wp:positionH>
            <wp:positionV relativeFrom="paragraph">
              <wp:posOffset>64135</wp:posOffset>
            </wp:positionV>
            <wp:extent cx="359410" cy="39624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6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4" w:right="545" w:bottom="971" w:left="1101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  <w:sz w:val="11"/>
          <w:szCs w:val="11"/>
        </w:rPr>
        <w:t>Магомедов Камиль Гусенович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color w:val="585858"/>
          <w:lang w:val="en-US" w:eastAsia="en-US"/>
        </w:rPr>
        <w:t>00CCF1</w:t>
      </w:r>
      <w:r>
        <w:rPr>
          <w:rStyle w:val="CharStyle25"/>
        </w:rPr>
        <w:t>СЕ099976А1</w:t>
      </w:r>
      <w:r>
        <w:rPr>
          <w:rStyle w:val="CharStyle25"/>
          <w:lang w:val="en-US" w:eastAsia="en-US"/>
        </w:rPr>
        <w:t>5D1</w:t>
      </w:r>
      <w:r>
        <w:rPr>
          <w:rStyle w:val="CharStyle25"/>
        </w:rPr>
        <w:t>ЕЕ464А3106АВ73</w:t>
      </w:r>
      <w:r>
        <w:rPr>
          <w:rStyle w:val="CharStyle25"/>
        </w:rPr>
        <w:t>1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25"/>
        </w:rPr>
        <w:t xml:space="preserve">Действителен с </w:t>
      </w:r>
      <w:r>
        <w:rPr>
          <w:rStyle w:val="CharStyle25"/>
          <w:color w:val="585858"/>
        </w:rPr>
        <w:t>29.08.2025 по 22.1</w:t>
      </w:r>
      <w:r>
        <w:rPr>
          <w:rStyle w:val="CharStyle25"/>
          <w:color w:val="292929"/>
        </w:rPr>
        <w:t>1</w:t>
      </w:r>
      <w:r>
        <w:rPr>
          <w:rStyle w:val="CharStyle25"/>
        </w:rPr>
        <w:t>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4" w:right="4156" w:bottom="1114" w:left="428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9854565</wp:posOffset>
              </wp:positionV>
              <wp:extent cx="648970" cy="12509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2026-2482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75.95000000000005pt;width:51.10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2026-2482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10026015</wp:posOffset>
              </wp:positionV>
              <wp:extent cx="648970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2026-2482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89.45000000000005pt;width:51.10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2026-2482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1">
    <w:name w:val="Picture caption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5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00" w:line="290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26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  <w:spacing w:after="100"/>
      <w:ind w:left="159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24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image" Target="media/image1.jpeg"/><Relationship Id="rId9" Type="http://schemas.openxmlformats.org/officeDocument/2006/relationships/image" Target="media/image1.jpeg" TargetMode="Externa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/Relationships>
</file>