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29.04.2026</w:t>
      </w:r>
      <w:r>
        <w:fldChar w:fldCharType="end"/>
      </w:r>
      <w:r>
        <w:rPr>
          <w:rStyle w:val="CharStyle10"/>
        </w:rPr>
        <w:tab/>
        <w:t>№ 18037/26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 xml:space="preserve">ГБУЗ «ГКБ </w:t>
      </w:r>
      <w:r>
        <w:rPr>
          <w:rStyle w:val="CharStyle12"/>
          <w:lang w:val="en-US" w:eastAsia="en-US"/>
        </w:rPr>
        <w:t xml:space="preserve">№ 31 </w:t>
      </w:r>
      <w:r>
        <w:rPr>
          <w:rStyle w:val="CharStyle12"/>
        </w:rPr>
        <w:t>им. академика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Г.М. Савельевой 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"mailto:LCDI-ogz31@zdrav.mos.ru" </w:instrText>
      </w:r>
      <w:r>
        <w:fldChar w:fldCharType="separate"/>
      </w:r>
      <w:r>
        <w:rPr>
          <w:rStyle w:val="CharStyle12"/>
          <w:lang w:val="en-US" w:eastAsia="en-US"/>
        </w:rPr>
        <w:t>LCDI-ogz31@zdrav.mos.ru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«Генос»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621" w:bottom="708" w:left="1265" w:header="0" w:footer="3" w:gutter="0"/>
          <w:pgNumType w:start="1"/>
          <w:cols w:num="2" w:space="1277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"mailto:GENOS59@YANDEX.RU" </w:instrText>
      </w:r>
      <w:r>
        <w:fldChar w:fldCharType="separate"/>
      </w:r>
      <w:r>
        <w:rPr>
          <w:rStyle w:val="CharStyle12"/>
          <w:lang w:val="en-US" w:eastAsia="en-US"/>
        </w:rPr>
        <w:t>GENOS59@YANDEX.RU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5" w:right="0" w:bottom="5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077/06/105-5156/2026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24.04.2026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и.о. начальника отдела обжалования государственных закупок Е.А. Мироновой,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А.С. Хлебниковой,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ГБУЗ «ГКБ </w:t>
      </w:r>
      <w:r>
        <w:rPr>
          <w:rStyle w:val="CharStyle12"/>
          <w:lang w:val="en-US" w:eastAsia="en-US"/>
        </w:rPr>
        <w:t xml:space="preserve">№ 31 </w:t>
      </w:r>
      <w:r>
        <w:rPr>
          <w:rStyle w:val="CharStyle12"/>
        </w:rPr>
        <w:t xml:space="preserve">им. академика Г.М. Савельевой ДЗМ»: Ж.А. Карнауховой (по доверенности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б/н от </w:t>
      </w:r>
      <w:r>
        <w:rPr>
          <w:rStyle w:val="CharStyle12"/>
          <w:lang w:val="en-US" w:eastAsia="en-US"/>
        </w:rPr>
        <w:t>20.01.2026),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отсутствие представителей ООО «Генос»,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«Генос»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«ГКБ </w:t>
      </w:r>
      <w:r>
        <w:rPr>
          <w:rStyle w:val="CharStyle12"/>
          <w:lang w:val="en-US" w:eastAsia="en-US"/>
        </w:rPr>
        <w:t xml:space="preserve">№ 31 </w:t>
      </w:r>
      <w:r>
        <w:rPr>
          <w:rStyle w:val="CharStyle12"/>
        </w:rPr>
        <w:t xml:space="preserve">им. академика Г.М. Савельевой 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медицинских изделий (набор для катетеризации центральных вен) для нужд ГБУЗ «ГКБ </w:t>
      </w:r>
      <w:r>
        <w:rPr>
          <w:rStyle w:val="CharStyle12"/>
          <w:lang w:val="en-US" w:eastAsia="en-US"/>
        </w:rPr>
        <w:t xml:space="preserve">№ 31 </w:t>
      </w:r>
      <w:r>
        <w:rPr>
          <w:rStyle w:val="CharStyle12"/>
        </w:rPr>
        <w:t xml:space="preserve">им. академика Г.М. Савельевой ДЗМ» (Закупка </w:t>
      </w:r>
      <w:r>
        <w:rPr>
          <w:rStyle w:val="CharStyle12"/>
          <w:lang w:val="en-US" w:eastAsia="en-US"/>
        </w:rPr>
        <w:t xml:space="preserve">№ 0373200025626000255)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электронный аукцион, аукцион), в соответствии</w:t>
      </w:r>
    </w:p>
    <w:p>
      <w:pPr>
        <w:widowControl w:val="0"/>
        <w:spacing w:line="1" w:lineRule="exact"/>
      </w:pPr>
      <w:r>
        <w:drawing>
          <wp:anchor distT="889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88900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2"/>
        </w:rPr>
        <w:t xml:space="preserve">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Согласно п.1 ч.2 ст.42 Закона о контрактной системе извещение об осуществлении закупки должно содержать описание объекта закупки в соответствии со 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189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1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240" w:line="276" w:lineRule="auto"/>
        <w:ind w:left="0" w:right="0" w:firstLine="660"/>
        <w:jc w:val="both"/>
        <w:rPr>
          <w:sz w:val="24"/>
          <w:szCs w:val="24"/>
        </w:rPr>
      </w:pPr>
      <w:r>
        <w:rPr>
          <w:rStyle w:val="CharStyle12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</w:t>
      </w:r>
      <w:r>
        <w:rPr>
          <w:rStyle w:val="CharStyle12"/>
          <w:sz w:val="24"/>
          <w:szCs w:val="24"/>
          <w:lang w:val="en-US" w:eastAsia="en-US"/>
        </w:rPr>
        <w:t>2026-20703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По мнению Заявителя, совокупность установленных параметров для товаров по п. «Набор для катетеризации центральных вен, кратковременного использования» соответствует товарам единственного производителя «Б. Браун Мельзунген АГ», при этом ограничивающими характеристиками являются: «Описание: «кабель для контроля положения катетера по данным внутрипредсердной ЭКГ, скальпель».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доводы Заявителя об отсутствии необходимости включения скальпеля и ЭКГ-кабеля в состав набора являются необоснованными, так как данные компоненты обеспечивают выполнение манипуляции в соответствии с методикой производителя Наличие данных компонентов в составе зарегистрированного медицинского изделия (РУ) подтверждает их клиническую значимость и обязательность для достижения заявленного медицинского эффекта.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5" w:right="544" w:bottom="517" w:left="1104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Данное медицинское изделие зарегистрировано в рамках одного РУ как единое изделие (набор), который включает катетер, скальпель и ЭКГ-кабель и так далее, поставка этих компонентов набора является обязательной для сохранения целостности медицинского изделия. Изъятие любого компонента из зарегистрированного набора нарушает условия его эксплуатации, предусмотренные производителем. Утверждение о «необоснованности скальпеля» не соответствует выполнению катетеризации центральных вен по методике Сельдингера. Для введения катетера большого диаметра требуется предварительная дилатация (расширение) тканей. Без микронадсечки кожи скальпелем введение дилататора приведет к травматизации тканей. Отсутствие скальпеля в наборе вынуждает врача </w:t>
      </w:r>
      <w:r>
        <w:rPr>
          <w:rStyle w:val="CharStyle12"/>
          <w:sz w:val="24"/>
          <w:szCs w:val="24"/>
          <w:lang w:val="en-US" w:eastAsia="en-US"/>
        </w:rPr>
        <w:t>2026-20703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использовать сторонние инструменты, что повышает риск нарушения асептической установки катетера.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Так же на рынке присутствует как минимум два производителя, отвечающие требованиям описания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«Б. Браун Мельзунген АГ», Федеративная Республика Германия, регистрационное удостоверение ФСЗ </w:t>
      </w:r>
      <w:r>
        <w:rPr>
          <w:rStyle w:val="CharStyle12"/>
          <w:lang w:val="en-US" w:eastAsia="en-US"/>
        </w:rPr>
        <w:t xml:space="preserve">2010/07328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17.04.2023;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ООО «ВАЙТ Медикал», Российская Федерация, регистрационное удостоверение РЗН </w:t>
      </w:r>
      <w:r>
        <w:rPr>
          <w:rStyle w:val="CharStyle12"/>
          <w:lang w:val="en-US" w:eastAsia="en-US"/>
        </w:rPr>
        <w:t xml:space="preserve">2025/25784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01.07.2025, </w:t>
      </w:r>
      <w:r>
        <w:rPr>
          <w:rStyle w:val="CharStyle12"/>
        </w:rPr>
        <w:t>составы наборов указаны в регистрационном удостоверении.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Вместе с тем в составе жалобы Заявителем не представлены документы и сведения свидетельствующие об ограничении количества участников закупки, а также о невозможности формирования заявки на участие в данном аукционе, а также сведений, свидетельствующих о нарушении Заказчиком норм Закона о контрактной системе при установлении требований к поставляемым товарам.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Кроме того, Заявителем не представлено доказательств того обстоятельства, что содержащиеся в техническом задании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техническом задании.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Кроме того, Комиссия также отмечает, что предъявленные Заказчиком требования к поставляемому товару в равной степени распространялись на всех участников аукциона,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На основании изложенного, Комиссия Управления приходит к выводу о том, что вышеуказанный довод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Признать жалобу ООО «Генос» на действия комиссии ГБУЗ «ГКБ </w:t>
      </w:r>
      <w:r>
        <w:rPr>
          <w:rStyle w:val="CharStyle12"/>
          <w:lang w:val="en-US" w:eastAsia="en-US"/>
        </w:rPr>
        <w:t xml:space="preserve">№ 31 </w:t>
      </w:r>
      <w:r>
        <w:rPr>
          <w:rStyle w:val="CharStyle12"/>
        </w:rPr>
        <w:t>им академика Г.М. Савельевой ДЗМ»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7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2"/>
        </w:rPr>
        <w:t>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Решение может быть обжаловано в суде (Арбитражном суде г. Москвы)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 xml:space="preserve">АПК РФ,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(трех) месяцев с даты его принятия.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945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41630" distL="0" distR="0" simplePos="0" relativeHeight="125829379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533400</wp:posOffset>
                </wp:positionV>
                <wp:extent cx="184404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pt;margin-top:42.pt;width:145.20000000000002pt;height:19.900000000000002pt;z-index:-125829374;mso-wrap-distance-left:0;mso-wrap-distance-top:42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2770" distB="0" distL="0" distR="1786255" simplePos="0" relativeHeight="125829381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572770</wp:posOffset>
            </wp:positionV>
            <wp:extent cx="389890" cy="55499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1011555</wp:posOffset>
                </wp:positionV>
                <wp:extent cx="1283335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0.75pt;margin-top:79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694690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60000000000002pt;margin-top:54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41630" distL="0" distR="0" simplePos="0" relativeHeight="125829382" behindDoc="0" locked="0" layoutInCell="1" allowOverlap="1">
                <wp:simplePos x="0" y="0"/>
                <wp:positionH relativeFrom="page">
                  <wp:posOffset>6040120</wp:posOffset>
                </wp:positionH>
                <wp:positionV relativeFrom="paragraph">
                  <wp:posOffset>533400</wp:posOffset>
                </wp:positionV>
                <wp:extent cx="1176655" cy="2527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5.60000000000002pt;margin-top:42.pt;width:92.650000000000006pt;height:19.900000000000002pt;z-index:-125829371;mso-wrap-distance-left:0;mso-wrap-distance-top:42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МИРОНОВА ЕЛЕНА АЛЕКСАНДРОВНА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3FC3074664AE0BF9622DE254DA2DA419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9"/>
        </w:rPr>
        <w:t xml:space="preserve">Действителен с 03.09.2025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27.1</w:t>
      </w:r>
      <w:r>
        <w:rPr>
          <w:rStyle w:val="CharStyle19"/>
          <w:color w:val="292929"/>
        </w:rPr>
        <w:t>1</w:t>
      </w:r>
      <w:r>
        <w:rPr>
          <w:rStyle w:val="CharStyle19"/>
        </w:rPr>
        <w:t>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60000000000002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Леонова Алена Альбертовна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276EF4D805B62E966E204BCBEB72461C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19"/>
        </w:rPr>
        <w:t xml:space="preserve">Действителен с 05.12.2025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28.02.2027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60"/>
        <w:jc w:val="left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3135630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149860</wp:posOffset>
                </wp:positionV>
                <wp:extent cx="1725295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40000000000003pt;margin-top:11.80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А.С. Хлебникова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ХЛЕБНИКОВА АНАСТАСИЯ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00BDC586F2C22E864181858031D16A1</w:t>
      </w:r>
      <w:r>
        <w:rPr>
          <w:rStyle w:val="CharStyle19"/>
          <w:color w:val="292929"/>
        </w:rPr>
        <w:t>1</w:t>
      </w:r>
      <w:r>
        <w:rPr>
          <w:rStyle w:val="CharStyle19"/>
        </w:rPr>
        <w:t>13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0" w:line="240" w:lineRule="auto"/>
        <w:ind w:right="0" w:firstLine="0"/>
        <w:jc w:val="left"/>
      </w:pPr>
      <w:r>
        <w:rPr>
          <w:rStyle w:val="CharStyle19"/>
        </w:rPr>
        <w:t>Действителен с 31.1</w:t>
      </w:r>
      <w:r>
        <w:rPr>
          <w:rStyle w:val="CharStyle19"/>
          <w:color w:val="5E5E5E"/>
        </w:rPr>
        <w:t xml:space="preserve">0.2025 по </w:t>
      </w:r>
      <w:r>
        <w:rPr>
          <w:rStyle w:val="CharStyle19"/>
        </w:rPr>
        <w:t>24.01.2027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10217150</wp:posOffset>
              </wp:positionV>
              <wp:extent cx="71628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2026-20703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450000000000003pt;margin-top:804.5pt;width:56.3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2026-20703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2026-20703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050000000000004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2026-20703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3931920</wp:posOffset>
              </wp:positionH>
              <wp:positionV relativeFrom="page">
                <wp:posOffset>267335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60000000000002pt;margin-top:21.0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476250</wp:posOffset>
              </wp:positionV>
              <wp:extent cx="7620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8.80000000000001pt;margin-top:37.5pt;width:6.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4"/>
      <w:numFmt w:val="decimal"/>
      <w:lvlText w:val="%1"/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