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29.04.2026</w:t>
      </w:r>
      <w:r>
        <w:fldChar w:fldCharType="end"/>
      </w:r>
      <w:r>
        <w:rPr>
          <w:rStyle w:val="CharStyle10"/>
        </w:rPr>
        <w:tab/>
        <w:t>№ 17904/26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ФГБУ «Аналитический Центр Минпросвещения России»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"mailto:zakupki@fgbu-ac.ru" </w:instrText>
      </w:r>
      <w:r>
        <w:fldChar w:fldCharType="separate"/>
      </w:r>
      <w:r>
        <w:rPr>
          <w:rStyle w:val="CharStyle12"/>
          <w:lang w:val="en-US" w:eastAsia="en-US"/>
        </w:rPr>
        <w:t>zakupki@fgbu-ac.ru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«Квазар»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2"/>
          <w:lang w:val="en-US" w:eastAsia="en-US"/>
        </w:rPr>
        <w:t>info@kvazar.ooo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РТС-тендер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823" w:bottom="1280" w:left="1265" w:header="0" w:footer="3" w:gutter="0"/>
          <w:pgNumType w:start="1"/>
          <w:cols w:num="2" w:space="1282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4" w:right="0" w:bottom="10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077/06/105-5157/2026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25400</wp:posOffset>
                </wp:positionV>
                <wp:extent cx="1197610" cy="41783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lang w:val="en-US" w:eastAsia="en-US"/>
                              </w:rPr>
                              <w:t>24.04.2026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5.550000000000004pt;margin-top:2.pt;width:94.299999999999997pt;height:32.899999999999999pt;z-index:-125829375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  <w:lang w:val="en-US" w:eastAsia="en-US"/>
                        </w:rPr>
                        <w:t>24.04.2026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rStyle w:val="CharStyle12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по контролю в сфере закупок товаров, работ, услуг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главного специалиста 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ФГБУ «Аналитический Центр Минпросвещения России»: Я.Г. Васильева (по дов. от </w:t>
      </w:r>
      <w:r>
        <w:rPr>
          <w:rStyle w:val="CharStyle12"/>
          <w:lang w:val="en-US" w:eastAsia="en-US"/>
        </w:rPr>
        <w:t xml:space="preserve">12.01.2026 №7), </w:t>
      </w:r>
      <w:r>
        <w:rPr>
          <w:rStyle w:val="CharStyle12"/>
        </w:rPr>
        <w:t xml:space="preserve">Н.В. Субботиной (по дов. от </w:t>
      </w:r>
      <w:r>
        <w:rPr>
          <w:rStyle w:val="CharStyle12"/>
          <w:lang w:val="en-US" w:eastAsia="en-US"/>
        </w:rPr>
        <w:t>12.01.2026 №9),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отсутствие представителей ООО «Квазар»,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ЕИС),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рассмотрев жалобу ООО «Квазар»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«Аналитический Центр Минпросвещения России»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нужд типографии (Закупка </w:t>
      </w:r>
      <w:r>
        <w:rPr>
          <w:rStyle w:val="CharStyle12"/>
          <w:lang w:val="en-US" w:eastAsia="en-US"/>
        </w:rPr>
        <w:t xml:space="preserve">№ 0351100027926000025) (далее– </w:t>
      </w:r>
      <w:r>
        <w:rPr>
          <w:rStyle w:val="CharStyle12"/>
        </w:rPr>
        <w:t>аукцион, электронный аукцион) в соответствии с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 xml:space="preserve">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составе жалобы Заявитель указывает, что Заказчиком в извещении об осуществлении закупки неправомерно установлено требование о поставке исключительно оригинальных товаров без возможности поставки эквивалентной продукции, что также влечет за собой невозможное применение защитных мер, предусмотренных положениями Постановления Правительства РФ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 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2" w:val="left"/>
        </w:tabs>
        <w:bidi w:val="0"/>
        <w:spacing w:before="0" w:after="260" w:line="29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</w:t>
      </w:r>
      <w:r>
        <w:rPr>
          <w:rStyle w:val="CharStyle12"/>
          <w:sz w:val="24"/>
          <w:szCs w:val="24"/>
          <w:lang w:val="en-US" w:eastAsia="en-US"/>
        </w:rPr>
        <w:t>2026-20530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 согласно извещению об осуществлении закупки, Заказчиком установлены следующие требования к закупаемым товарам, например по позициям: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«Картридж для электрографических печатающих устройств Идентификатор: </w:t>
      </w:r>
      <w:r>
        <w:rPr>
          <w:rStyle w:val="CharStyle12"/>
          <w:lang w:val="en-US" w:eastAsia="en-US"/>
        </w:rPr>
        <w:t xml:space="preserve">210108087», </w:t>
      </w:r>
      <w:r>
        <w:rPr>
          <w:rStyle w:val="CharStyle12"/>
        </w:rPr>
        <w:t xml:space="preserve">Товарный знак: </w:t>
      </w:r>
      <w:r>
        <w:rPr>
          <w:rStyle w:val="CharStyle12"/>
          <w:lang w:val="en-US" w:eastAsia="en-US"/>
        </w:rPr>
        <w:t xml:space="preserve">Xerox; </w:t>
      </w:r>
      <w:r>
        <w:rPr>
          <w:rStyle w:val="CharStyle12"/>
        </w:rPr>
        <w:t xml:space="preserve">«Марка и модель оборудования, для которого предназначен товар: </w:t>
      </w:r>
      <w:r>
        <w:rPr>
          <w:rStyle w:val="CharStyle12"/>
          <w:lang w:val="en-US" w:eastAsia="en-US"/>
        </w:rPr>
        <w:t xml:space="preserve">Xerox Versant 280 Press; </w:t>
      </w:r>
      <w:r>
        <w:rPr>
          <w:rStyle w:val="CharStyle12"/>
        </w:rPr>
        <w:t>Требование оригинальности: Оригинальный;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«Картридж для электрографических печатающих устройств Идентификатор: </w:t>
      </w:r>
      <w:r>
        <w:rPr>
          <w:rStyle w:val="CharStyle12"/>
          <w:lang w:val="en-US" w:eastAsia="en-US"/>
        </w:rPr>
        <w:t xml:space="preserve">210108087», </w:t>
      </w:r>
      <w:r>
        <w:rPr>
          <w:rStyle w:val="CharStyle12"/>
        </w:rPr>
        <w:t xml:space="preserve">Товарный знак: </w:t>
      </w:r>
      <w:r>
        <w:rPr>
          <w:rStyle w:val="CharStyle12"/>
          <w:lang w:val="en-US" w:eastAsia="en-US"/>
        </w:rPr>
        <w:t xml:space="preserve">Xerox; </w:t>
      </w:r>
      <w:r>
        <w:rPr>
          <w:rStyle w:val="CharStyle12"/>
        </w:rPr>
        <w:t xml:space="preserve">«Марка и модель оборудования, для которого предназначен товар: </w:t>
      </w:r>
      <w:r>
        <w:rPr>
          <w:rStyle w:val="CharStyle12"/>
          <w:lang w:val="en-US" w:eastAsia="en-US"/>
        </w:rPr>
        <w:t xml:space="preserve">Xerox Color J75; </w:t>
      </w:r>
      <w:r>
        <w:rPr>
          <w:rStyle w:val="CharStyle12"/>
        </w:rPr>
        <w:t>Требование оригинальности: Оригинальный;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Картридж для струйных печатающих устройств Идентификатор: </w:t>
      </w:r>
      <w:r>
        <w:rPr>
          <w:rStyle w:val="CharStyle12"/>
          <w:lang w:val="en-US" w:eastAsia="en-US"/>
        </w:rPr>
        <w:t xml:space="preserve">209040835», </w:t>
      </w:r>
      <w:r>
        <w:rPr>
          <w:rStyle w:val="CharStyle12"/>
        </w:rPr>
        <w:t xml:space="preserve">Товарный знак: </w:t>
      </w:r>
      <w:r>
        <w:rPr>
          <w:rStyle w:val="CharStyle12"/>
          <w:lang w:val="en-US" w:eastAsia="en-US"/>
        </w:rPr>
        <w:t xml:space="preserve">Canon ; </w:t>
      </w:r>
      <w:r>
        <w:rPr>
          <w:rStyle w:val="CharStyle12"/>
        </w:rPr>
        <w:t xml:space="preserve">Марка и модель оборудования, для которого предназначен товар: </w:t>
      </w:r>
      <w:r>
        <w:rPr>
          <w:rStyle w:val="CharStyle12"/>
          <w:lang w:val="en-US" w:eastAsia="en-US"/>
        </w:rPr>
        <w:t xml:space="preserve">Canon imagePROGRAF TM-300; </w:t>
      </w:r>
      <w:r>
        <w:rPr>
          <w:rStyle w:val="CharStyle12"/>
        </w:rPr>
        <w:t>Требование оригинальности: Оригинальный.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П.1 ч.2 ст.14 Закона о контрактной системе определено, что Правительство Российской Федерации вправе с учетом положений ч.3 ст.14 Закона о </w:t>
      </w:r>
      <w:r>
        <w:rPr>
          <w:rStyle w:val="CharStyle12"/>
          <w:sz w:val="24"/>
          <w:szCs w:val="24"/>
          <w:lang w:val="en-US" w:eastAsia="en-US"/>
        </w:rPr>
        <w:t>2026-20530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>№2;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Пп.«б» п.6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определено, что ограничение, предусмотренное п.1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может не применяться заказчиками при осуществлении закупок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пп.«б» п.6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не применяются при осуществлении закупок товаров, указанных в приложении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и являющихся расходными материалами, комплектующими, принадлежностями к медицинским изделиям.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  <w:lang w:val="en-US" w:eastAsia="en-US"/>
        </w:rPr>
        <w:t>2026-20530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определено, что в извещении об осуществлении закупки Заказчиком установлено ограничение, предусмотренное Постановлением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а также указано обоснование невозможности соблюдения ограничения: «Подпункт «б» пункта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постановления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лиц»: осуществляется закупка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отмечает, что ст.33 Закона о контрактной системе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этом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4" w:right="541" w:bottom="1019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На заседании Комиссии Управления представитель Заказчика пояснил, что формирование описания объекта закупки путем указания на необходимость закупки именно оригинальных расходных материалов и комплектующих обусловлено необходимостью обеспечения полной совместимости приобретаемого товара с техникой для типографии (ЦМП </w:t>
      </w:r>
      <w:r>
        <w:rPr>
          <w:rStyle w:val="CharStyle12"/>
          <w:lang w:val="en-US" w:eastAsia="en-US"/>
        </w:rPr>
        <w:t xml:space="preserve">Xerox Versant 280 Press, Саnon imagePROGRAF </w:t>
      </w:r>
      <w:r>
        <w:rPr>
          <w:rStyle w:val="CharStyle12"/>
        </w:rPr>
        <w:t xml:space="preserve">ТМ-300, МФУ </w:t>
      </w:r>
      <w:r>
        <w:rPr>
          <w:rStyle w:val="CharStyle12"/>
          <w:lang w:val="en-US" w:eastAsia="en-US"/>
        </w:rPr>
        <w:t xml:space="preserve">Xerox Color </w:t>
      </w:r>
      <w:r>
        <w:rPr>
          <w:rStyle w:val="CharStyle12"/>
        </w:rPr>
        <w:t xml:space="preserve">С75 </w:t>
      </w:r>
      <w:r>
        <w:rPr>
          <w:rStyle w:val="CharStyle12"/>
          <w:lang w:val="en-US" w:eastAsia="en-US"/>
        </w:rPr>
        <w:t xml:space="preserve">Press), </w:t>
      </w:r>
      <w:r>
        <w:rPr>
          <w:rStyle w:val="CharStyle12"/>
        </w:rPr>
        <w:t xml:space="preserve">уже используемой Заказчиком, и с целью </w:t>
      </w:r>
      <w:r>
        <w:rPr>
          <w:rStyle w:val="CharStyle12"/>
          <w:sz w:val="24"/>
          <w:szCs w:val="24"/>
          <w:lang w:val="en-US" w:eastAsia="en-US"/>
        </w:rPr>
        <w:t>2026-20530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соблюдения условий эксплуатации, качества печати и гарантии, имеющейся у Центра на указанную оргтехнику.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Использование в оргтехнике не оригинального товара и товара, не одобренного производителем, приводит к нарушению условий гарантии, требований безопасности, установленных в стандартах на данную продукцию и подтвержденных при сертификации.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представители Заказчика отметили, что: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функции по производству расходных материалов для МФУ возложены только на производителей, лицензии и техническая документация сторонним компаниям на производство, восстановление или перезаправку картриджей, запасных частей и комплектующих не представляются;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производители МФУ не подтверждают эквивалентность расходных материалов сторонних производителей, заявленных сторонними производителями как «аналоги» и (или) «совместимые расходные материалы», а также их совместимость с печатным оборудованием </w:t>
      </w:r>
      <w:r>
        <w:rPr>
          <w:rStyle w:val="CharStyle12"/>
          <w:lang w:val="en-US" w:eastAsia="en-US"/>
        </w:rPr>
        <w:t>Xerox;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использование «аналогов» и (или) «совместимых расходных материалов» влечет прекращение действия сертификатов Таможенного Союза, а также прекращение гарантийных обязательств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Представители Заказчика отметили, что в случае поломки оборудования вследствие использования неоригинальных (совместимых) картриджей Заказчик будет обязан провести независимую экспертизу, чтобы доказать, что причиной поломки стало именно использование неоригинальных картриджей.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2"/>
        </w:rPr>
        <w:t>Также в указанном случае предстоят дополнительные расходы на закупку вышедших из строя запчастей, ремонт оборудования. При этом использование оригинальных картриджей обеспечивает надлежащий порядок эксплуатации дорогостоящего оборудования, не снижает предусмотренный срок его эксплуатации и сохраняет гарантию.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Так, одна из единиц оборудования (ЦПМ </w:t>
      </w:r>
      <w:r>
        <w:rPr>
          <w:rStyle w:val="CharStyle12"/>
          <w:lang w:val="en-US" w:eastAsia="en-US"/>
        </w:rPr>
        <w:t xml:space="preserve">Xerox Versant 280 Press) </w:t>
      </w:r>
      <w:r>
        <w:rPr>
          <w:rStyle w:val="CharStyle12"/>
        </w:rPr>
        <w:t xml:space="preserve">приобретена Заказчиком в ноябре </w:t>
      </w:r>
      <w:r>
        <w:rPr>
          <w:rStyle w:val="CharStyle12"/>
          <w:lang w:val="en-US" w:eastAsia="en-US"/>
        </w:rPr>
        <w:t xml:space="preserve">2021 </w:t>
      </w:r>
      <w:r>
        <w:rPr>
          <w:rStyle w:val="CharStyle12"/>
        </w:rPr>
        <w:t>года и в настоящее время находятся на гарантии производителя, на продукцию имеется гарантийный талон.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обоснование своей позиции, представитель Заказчика предоставил следующие документы: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5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Руководство пользователя на оборудование </w:t>
      </w:r>
      <w:r>
        <w:rPr>
          <w:rStyle w:val="CharStyle12"/>
          <w:lang w:val="en-US" w:eastAsia="en-US"/>
        </w:rPr>
        <w:t>Xerox Versant 280 Press;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5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Руководство пользователя на </w:t>
      </w:r>
      <w:r>
        <w:rPr>
          <w:rStyle w:val="CharStyle12"/>
          <w:lang w:val="en-US" w:eastAsia="en-US"/>
        </w:rPr>
        <w:t>Xerox Color J75;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Гарантийный талон на оборудование «Цветное многофункциональное устройство </w:t>
      </w:r>
      <w:r>
        <w:rPr>
          <w:rStyle w:val="CharStyle12"/>
          <w:lang w:val="en-US" w:eastAsia="en-US"/>
        </w:rPr>
        <w:t xml:space="preserve">Xerox Versant 280 Press», </w:t>
      </w:r>
      <w:r>
        <w:rPr>
          <w:rStyle w:val="CharStyle12"/>
        </w:rPr>
        <w:t xml:space="preserve">в составе которого указано: «Дата продажи: </w:t>
      </w:r>
      <w:r>
        <w:rPr>
          <w:rStyle w:val="CharStyle12"/>
          <w:lang w:val="en-US" w:eastAsia="en-US"/>
        </w:rPr>
        <w:t xml:space="preserve">30.11.2021», </w:t>
      </w:r>
      <w:r>
        <w:rPr>
          <w:rStyle w:val="CharStyle12"/>
        </w:rPr>
        <w:t xml:space="preserve">«Срок гарантии: </w:t>
      </w:r>
      <w:r>
        <w:rPr>
          <w:rStyle w:val="CharStyle12"/>
          <w:lang w:val="en-US" w:eastAsia="en-US"/>
        </w:rPr>
        <w:t xml:space="preserve">60 </w:t>
      </w:r>
      <w:r>
        <w:rPr>
          <w:rStyle w:val="CharStyle12"/>
        </w:rPr>
        <w:t>месяцев»;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Сведения о гарантийный обязательствах в составе которых в том числе указано: условия прерывания гарантийных обязательств </w:t>
      </w:r>
      <w:r>
        <w:rPr>
          <w:rStyle w:val="CharStyle12"/>
          <w:lang w:val="en-US" w:eastAsia="en-US"/>
        </w:rPr>
        <w:t xml:space="preserve">- 7. </w:t>
      </w:r>
      <w:r>
        <w:rPr>
          <w:rStyle w:val="CharStyle12"/>
        </w:rPr>
        <w:t>использование неоригинальных расходных материалов;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Информационные письма ООО «Ксерокс СНГ» </w:t>
      </w:r>
      <w:r>
        <w:rPr>
          <w:rStyle w:val="CharStyle12"/>
          <w:lang w:val="en-US" w:eastAsia="en-US"/>
        </w:rPr>
        <w:t xml:space="preserve">№2020-061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02.03.2020, №2020-155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08.06.2020, №2022-053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05.03.2022 </w:t>
      </w:r>
      <w:r>
        <w:rPr>
          <w:rStyle w:val="CharStyle12"/>
        </w:rPr>
        <w:t>в составе которых указано на необходимость использования оригинальных расходных материалов;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3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Информационное письмо ООО «Канон РУ» </w:t>
      </w:r>
      <w:r>
        <w:rPr>
          <w:rStyle w:val="CharStyle12"/>
          <w:lang w:val="en-US" w:eastAsia="en-US"/>
        </w:rPr>
        <w:t xml:space="preserve">№ 1508141319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13.03.2020, </w:t>
      </w:r>
      <w:r>
        <w:rPr>
          <w:rStyle w:val="CharStyle12"/>
        </w:rPr>
        <w:t xml:space="preserve">в составе которого указано на необходимость использования оригинальных расходных материалов производства компании </w:t>
      </w:r>
      <w:r>
        <w:rPr>
          <w:rStyle w:val="CharStyle12"/>
          <w:lang w:val="en-US" w:eastAsia="en-US"/>
        </w:rPr>
        <w:t>Canon.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3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Контракт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066ЭА на поставку Цветного многофункционального устройства </w:t>
      </w:r>
      <w:r>
        <w:rPr>
          <w:rStyle w:val="CharStyle12"/>
          <w:lang w:val="en-US" w:eastAsia="en-US"/>
        </w:rPr>
        <w:t>Xerox Versant 280 Press;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Платежное поручение </w:t>
      </w:r>
      <w:r>
        <w:rPr>
          <w:rStyle w:val="CharStyle12"/>
          <w:lang w:val="en-US" w:eastAsia="en-US"/>
        </w:rPr>
        <w:t xml:space="preserve">№239055 </w:t>
      </w:r>
      <w:r>
        <w:rPr>
          <w:rStyle w:val="CharStyle12"/>
        </w:rPr>
        <w:t xml:space="preserve">за поставку Цветного многофункционального устройства </w:t>
      </w:r>
      <w:r>
        <w:rPr>
          <w:rStyle w:val="CharStyle12"/>
          <w:lang w:val="en-US" w:eastAsia="en-US"/>
        </w:rPr>
        <w:t>Xerox Versant 280 Press;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3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Акт приема-передачи товара Цветного многофункционального устройства </w:t>
      </w:r>
      <w:r>
        <w:rPr>
          <w:rStyle w:val="CharStyle12"/>
          <w:lang w:val="en-US" w:eastAsia="en-US"/>
        </w:rPr>
        <w:t xml:space="preserve">Xerox Versant 280 Press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30.11.2021.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Также представители Заказчика отметили, что руководствуясь абз.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подп. «а» п.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>Заказчик задекларировал в извещении об осуществлении закупки факт отсутствия в реестре российской промышленной продукции закупаемого товара с характеристиками, соответствующими потребности заказчика, указал в Описании объекта закупки (техническом задании) характеристики товара, потребность в котором имеется у Заказчика и который отсутствует в реестре российской промышленной продукции, а также включил в Описание объекта закупки (техническое задание) копии уведомлений, направленных до начала осуществления закупки в Министерство промышленности и торговли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Комиссией Управления установлено, что представителями Заказчика представлен гарантийный талон на оборудование «Цветное многофункциональное устройство </w:t>
      </w:r>
      <w:r>
        <w:rPr>
          <w:rStyle w:val="CharStyle12"/>
          <w:lang w:val="en-US" w:eastAsia="en-US"/>
        </w:rPr>
        <w:t xml:space="preserve">Xerox Versant 280 Press», </w:t>
      </w:r>
      <w:r>
        <w:rPr>
          <w:rStyle w:val="CharStyle12"/>
        </w:rPr>
        <w:t xml:space="preserve">в составе которого указано: «Дата продажи: </w:t>
      </w:r>
      <w:r>
        <w:rPr>
          <w:rStyle w:val="CharStyle12"/>
          <w:lang w:val="en-US" w:eastAsia="en-US"/>
        </w:rPr>
        <w:t xml:space="preserve">30.11.2021», </w:t>
      </w:r>
      <w:r>
        <w:rPr>
          <w:rStyle w:val="CharStyle12"/>
        </w:rPr>
        <w:t xml:space="preserve">«Срок гарантии: </w:t>
      </w:r>
      <w:r>
        <w:rPr>
          <w:rStyle w:val="CharStyle12"/>
          <w:lang w:val="en-US" w:eastAsia="en-US"/>
        </w:rPr>
        <w:t xml:space="preserve">60 </w:t>
      </w:r>
      <w:r>
        <w:rPr>
          <w:rStyle w:val="CharStyle12"/>
        </w:rPr>
        <w:t>месяцев.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2"/>
        </w:rPr>
        <w:t>Таким образом, в данном случае речь идёт не о фактической совместимости или несовместимости оборудования Заказчика и расходных материалов сторонних производителей, а о потребности Заказчика в оригинальных расходных материалах, для сохранении гарантии на имеющееся у него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2"/>
        </w:rPr>
        <w:t>Комиссией Управления определено, что в случае неисправности оборудования Заказчика по причине использования расходных материалов иных производителей Заказчик будет лишён права бесплатного ремонта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Также Комиссия Управления отмечает, что на стр.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Руководства пользователя на оборудование </w:t>
      </w:r>
      <w:r>
        <w:rPr>
          <w:rStyle w:val="CharStyle12"/>
          <w:lang w:val="en-US" w:eastAsia="en-US"/>
        </w:rPr>
        <w:t xml:space="preserve">Xerox Versant 280 Press </w:t>
      </w:r>
      <w:r>
        <w:rPr>
          <w:rStyle w:val="CharStyle12"/>
        </w:rPr>
        <w:t>указано, что: «</w:t>
      </w:r>
      <w:r>
        <w:rPr>
          <w:rStyle w:val="CharStyle12"/>
          <w:i/>
          <w:iCs/>
        </w:rPr>
        <w:t xml:space="preserve">Не рекомендуется использовать расходные материалы других производителей. Гарантийные обязательства, соглашения об обслуживании и гарантия </w:t>
      </w:r>
      <w:r>
        <w:rPr>
          <w:rStyle w:val="CharStyle12"/>
          <w:i/>
          <w:iCs/>
          <w:lang w:val="en-US" w:eastAsia="en-US"/>
        </w:rPr>
        <w:t xml:space="preserve">Total Satisfaction Guarantee </w:t>
      </w:r>
      <w:r>
        <w:rPr>
          <w:rStyle w:val="CharStyle12"/>
          <w:i/>
          <w:iCs/>
        </w:rPr>
        <w:t xml:space="preserve">(Общая гарантия качества) не распространяются на поломки, неправильную работу или снижение качества, вызванные использованием расходных материалов других производителей или использованием расходных материалов </w:t>
      </w:r>
      <w:r>
        <w:rPr>
          <w:rStyle w:val="CharStyle12"/>
          <w:i/>
          <w:iCs/>
          <w:lang w:val="en-US" w:eastAsia="en-US"/>
        </w:rPr>
        <w:t xml:space="preserve">Xerox, </w:t>
      </w:r>
      <w:r>
        <w:rPr>
          <w:rStyle w:val="CharStyle12"/>
          <w:i/>
          <w:iCs/>
        </w:rPr>
        <w:t xml:space="preserve">не предназначенных для этой печатной машины. </w:t>
      </w:r>
      <w:r>
        <w:rPr>
          <w:rStyle w:val="CharStyle12"/>
          <w:i/>
          <w:iCs/>
          <w:lang w:val="en-US" w:eastAsia="en-US"/>
        </w:rPr>
        <w:t xml:space="preserve">Total Satisfaction Guarantee </w:t>
      </w:r>
      <w:r>
        <w:rPr>
          <w:rStyle w:val="CharStyle12"/>
          <w:i/>
          <w:iCs/>
        </w:rPr>
        <w:t xml:space="preserve">(Общая гарантия качества) действует в США и Канаде. Гарантийные обязательства в других странах могут различаться. Дополнительную информацию можно получить в представительстве </w:t>
      </w:r>
      <w:r>
        <w:rPr>
          <w:rStyle w:val="CharStyle12"/>
          <w:i/>
          <w:iCs/>
          <w:lang w:val="en-US" w:eastAsia="en-US"/>
        </w:rPr>
        <w:t>Xerox.»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2"/>
        </w:rPr>
        <w:t xml:space="preserve">Из совокупности положений Закона о контрактной системе следует, что установление требований к техническим, функциональным характеристикам </w:t>
      </w:r>
      <w:r>
        <w:rPr>
          <w:rStyle w:val="CharStyle12"/>
          <w:sz w:val="24"/>
          <w:szCs w:val="24"/>
          <w:lang w:val="en-US" w:eastAsia="en-US"/>
        </w:rPr>
        <w:t>2026-20530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Таким образом,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приходится, ввиду чего у Комиссии Управления отсутствуют правовые основания для признания Заказчика нарушившим положения о Законе о контрактной системе в отношении закупки картриджей для оборудования </w:t>
      </w:r>
      <w:r>
        <w:rPr>
          <w:rStyle w:val="CharStyle12"/>
          <w:lang w:val="en-US" w:eastAsia="en-US"/>
        </w:rPr>
        <w:t>Xerox Versant 280 Press.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этом, Комиссия Управления отмечает, что представителями Заказчика не было представлено каких-либо документов, свидетельствующих о нахождении на гарантии оборудования </w:t>
      </w:r>
      <w:r>
        <w:rPr>
          <w:rStyle w:val="CharStyle12"/>
          <w:lang w:val="en-US" w:eastAsia="en-US"/>
        </w:rPr>
        <w:t xml:space="preserve">Canon imagePROGRAF TM-300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>Xerox Color J75.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Так, если необходимость поставки оригинальных расходным материалов обусловлена обоснованной потребностью Заказчика это не может являться нарушением Закона о контрактной системе, однако Заказчиком не представлены документы, указывающие на необходимость использования исключительно оригинальных расходных материалов, что также препятствует применению Заказчиком мер национального режима, установленных в извещении.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6" w:bottom="620" w:left="1077" w:header="0" w:footer="192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На основе вышеизложенного, Комиссия Управления приходит к выводу о </w:t>
      </w:r>
      <w:r>
        <w:rPr>
          <w:rStyle w:val="CharStyle12"/>
          <w:sz w:val="24"/>
          <w:szCs w:val="24"/>
          <w:lang w:val="en-US" w:eastAsia="en-US"/>
        </w:rPr>
        <w:t>2026-20530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нарушении Заказчиком положений ч.1 ст.14,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33, </w:t>
      </w:r>
      <w:r>
        <w:rPr>
          <w:rStyle w:val="CharStyle12"/>
        </w:rPr>
        <w:t>п.15 ч.1 ст.42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ООО «Квазар» на действия ФГБУ «Аналитический Центр Минпросвещения России» обоснованной в части неправомерного формирования описания объекта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Признать в действиях Заказчика нарушение ч.1 ст.14,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33, </w:t>
      </w:r>
      <w:r>
        <w:rPr>
          <w:rStyle w:val="CharStyle12"/>
        </w:rPr>
        <w:t>п.15 ч.1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19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200000000000003pt;margin-top:10.pt;width:145.20000000000002pt;height:19.699999999999999pt;z-index:-125829373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2" behindDoc="0" locked="0" layoutInCell="1" allowOverlap="1">
            <wp:simplePos x="0" y="0"/>
            <wp:positionH relativeFrom="page">
              <wp:posOffset>3229610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7.40000000000003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3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5.69999999999999pt;margin-top:10.pt;width:102.7pt;height:19.699999999999999pt;z-index:-125829370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</w:t>
      </w:r>
      <w:r>
        <w:rPr>
          <w:rStyle w:val="CharStyle25"/>
          <w:color w:val="565656"/>
        </w:rPr>
        <w:t xml:space="preserve">выдан: </w:t>
      </w:r>
      <w:r>
        <w:rPr>
          <w:rStyle w:val="CharStyle25"/>
          <w:color w:val="000000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00EA3D636CED58A70F15417FA130B2F6C</w:t>
      </w:r>
      <w:r>
        <w:rPr>
          <w:rStyle w:val="CharStyle25"/>
          <w:lang w:val="en-US" w:eastAsia="en-US"/>
        </w:rPr>
        <w:t>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8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3195320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3691890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90.69999999999999pt;margin-top:36.550000000000004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3649345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7.35000000000002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6EBF6CE6C27B6345D47DBCD40C7FA5FD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5"/>
        </w:rPr>
        <w:t xml:space="preserve">Действителен с 19.09.2025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13.12.2026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42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3228975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3649345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7.35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ГЕЛМУТДИНОВА АНАСТАСИЯ СЕРГЕЕВНА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723501СС21703599976371</w:t>
      </w:r>
      <w:r>
        <w:rPr>
          <w:rStyle w:val="CharStyle25"/>
          <w:lang w:val="en-US" w:eastAsia="en-US"/>
        </w:rPr>
        <w:t>4F5C652689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00" w:line="266" w:lineRule="auto"/>
        <w:ind w:right="0" w:firstLine="0"/>
        <w:jc w:val="left"/>
      </w:pPr>
      <w:r>
        <w:rPr>
          <w:rStyle w:val="CharStyle25"/>
        </w:rPr>
        <w:t xml:space="preserve">Действителен с 09.02.2026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05.05.2027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6"/>
        </w:rPr>
        <w:t>Исп.Гелмутдинова А.С.тел.8(495)784-75-05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2026-20530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4.30000000000007pt;width:58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2026-20530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2026-20530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2026-20530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2026-20530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2026-20530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247015</wp:posOffset>
              </wp:positionV>
              <wp:extent cx="73025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9.449999999999999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73025" cy="12192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25pt;width:5.75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247015</wp:posOffset>
              </wp:positionV>
              <wp:extent cx="73025" cy="8509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pt;margin-top:19.449999999999999pt;width:5.75pt;height:6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73025" cy="12192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19999999999999pt;margin-top:37.25pt;width:5.75pt;height:9.5999999999999996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5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