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1306" w:wrap="none" w:hAnchor="page" w:x="1453" w:y="1119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42" w:h="1306" w:wrap="none" w:hAnchor="page" w:x="1453" w:y="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Тверской области</w:t>
      </w:r>
    </w:p>
    <w:p>
      <w:pPr>
        <w:pStyle w:val="Style2"/>
        <w:keepNext w:val="0"/>
        <w:keepLines w:val="0"/>
        <w:framePr w:w="4166" w:h="1766" w:wrap="none" w:hAnchor="page" w:x="1136" w:y="260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2"/>
        <w:keepNext w:val="0"/>
        <w:keepLines w:val="0"/>
        <w:framePr w:w="4166" w:h="1766" w:wrap="none" w:hAnchor="page" w:x="1136" w:y="2603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"mailto:to69@fas.gov.ru" </w:instrText>
      </w:r>
      <w:r>
        <w:fldChar w:fldCharType="separate"/>
      </w:r>
      <w:r>
        <w:rPr>
          <w:rStyle w:val="CharStyle3"/>
          <w:lang w:val="en-US" w:eastAsia="en-US"/>
        </w:rPr>
        <w:t>to69@fas.gov.ru</w:t>
      </w:r>
      <w:r>
        <w:fldChar w:fldCharType="end"/>
      </w:r>
    </w:p>
    <w:p>
      <w:pPr>
        <w:pStyle w:val="Style7"/>
        <w:keepNext/>
        <w:keepLines/>
        <w:framePr w:w="4166" w:h="1766" w:wrap="none" w:hAnchor="page" w:x="1136" w:y="2603"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8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8"/>
        </w:rPr>
        <w:t>8.04.2026</w:t>
        <w:tab/>
      </w:r>
      <w:r>
        <w:fldChar w:fldCharType="end"/>
      </w:r>
      <w:r>
        <w:rPr>
          <w:rStyle w:val="CharStyle8"/>
        </w:rPr>
        <w:t>№ РВ/2855/26</w:t>
      </w:r>
      <w:bookmarkEnd w:id="0"/>
    </w:p>
    <w:p>
      <w:pPr>
        <w:pStyle w:val="Style5"/>
        <w:keepNext w:val="0"/>
        <w:keepLines w:val="0"/>
        <w:framePr w:w="4166" w:h="1766" w:wrap="none" w:hAnchor="page" w:x="1136" w:y="260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 xml:space="preserve">На №  от</w:t>
      </w:r>
    </w:p>
    <w:p>
      <w:pPr>
        <w:pStyle w:val="Style10"/>
        <w:keepNext w:val="0"/>
        <w:keepLines w:val="0"/>
        <w:framePr w:w="3130" w:h="346" w:wrap="none" w:hAnchor="page" w:x="1160" w:y="4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Решение 069/06/105-372/2026</w:t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Заказчик:</w:t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Комитет по управлению имуществом муниципального образования городской округ город Торжок Тверской области </w:t>
      </w:r>
      <w:r>
        <w:fldChar w:fldCharType="begin"/>
      </w:r>
      <w:r>
        <w:rPr/>
        <w:instrText> HYPERLINK "mailto:ks@torzhok-adm.ru" </w:instrText>
      </w:r>
      <w:r>
        <w:fldChar w:fldCharType="separate"/>
      </w:r>
      <w:r>
        <w:rPr>
          <w:rStyle w:val="CharStyle11"/>
          <w:sz w:val="26"/>
          <w:szCs w:val="26"/>
          <w:lang w:val="en-US" w:eastAsia="en-US"/>
        </w:rPr>
        <w:t>ks@torzhok-adm.ru</w:t>
      </w:r>
      <w:r>
        <w:fldChar w:fldCharType="end"/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Уполномоченный орган:</w:t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Муниципальное казённое учреждение города Торжка «Центр по обеспечению деятельности органов местного самоуправления» </w:t>
      </w:r>
      <w:r>
        <w:fldChar w:fldCharType="begin"/>
      </w:r>
      <w:r>
        <w:rPr/>
        <w:instrText> HYPERLINK "mailto:ks@torzhok-adm.ru" </w:instrText>
      </w:r>
      <w:r>
        <w:fldChar w:fldCharType="separate"/>
      </w:r>
      <w:r>
        <w:rPr>
          <w:rStyle w:val="CharStyle11"/>
          <w:sz w:val="26"/>
          <w:szCs w:val="26"/>
          <w:lang w:val="en-US" w:eastAsia="en-US"/>
        </w:rPr>
        <w:t>ks@torzhok-adm.ru</w:t>
      </w:r>
      <w:r>
        <w:fldChar w:fldCharType="end"/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Заявитель:</w:t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ООО «АВТОМОБИЛИ И СПЕЦТЕХНИКА» </w:t>
      </w:r>
      <w:r>
        <w:fldChar w:fldCharType="begin"/>
      </w:r>
      <w:r>
        <w:rPr/>
        <w:instrText> HYPERLINK "mailto:aist.yar@mail.ru" </w:instrText>
      </w:r>
      <w:r>
        <w:fldChar w:fldCharType="separate"/>
      </w:r>
      <w:r>
        <w:rPr>
          <w:rStyle w:val="CharStyle11"/>
          <w:sz w:val="26"/>
          <w:szCs w:val="26"/>
          <w:lang w:val="en-US" w:eastAsia="en-US"/>
        </w:rPr>
        <w:t>aist.yar@mail.ru</w:t>
      </w:r>
      <w:r>
        <w:fldChar w:fldCharType="end"/>
      </w:r>
    </w:p>
    <w:p>
      <w:pPr>
        <w:pStyle w:val="Style10"/>
        <w:keepNext w:val="0"/>
        <w:keepLines w:val="0"/>
        <w:framePr w:w="4517" w:h="6350" w:wrap="none" w:hAnchor="page" w:x="6406" w:y="942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Оператор электронной площадки: 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sz w:val="26"/>
          <w:szCs w:val="26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546" w:bottom="1221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14" w:right="0" w:bottom="13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1"/>
          <w:b/>
          <w:bCs/>
          <w:sz w:val="26"/>
          <w:szCs w:val="26"/>
        </w:rPr>
        <w:t>Р Е Ш Е Н И 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1"/>
          <w:b/>
          <w:bCs/>
          <w:sz w:val="26"/>
          <w:szCs w:val="26"/>
        </w:rPr>
        <w:t>по делу № 069/06/105-372/2026 о рассмотрении жалобы на нарушение</w:t>
        <w:br/>
        <w:t>законодательства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Резолютивная часть решения оглашена «23» апреля 2026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В полном объеме решение изготовлено «28» апреля 2026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г. Тверь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Валиуллин </w:t>
      </w:r>
      <w:r>
        <w:rPr>
          <w:rStyle w:val="CharStyle11"/>
          <w:sz w:val="26"/>
          <w:szCs w:val="26"/>
          <w:lang w:val="en-US" w:eastAsia="en-US"/>
        </w:rPr>
        <w:t xml:space="preserve">P.P. </w:t>
      </w:r>
      <w:r>
        <w:rPr>
          <w:rStyle w:val="CharStyle11"/>
          <w:sz w:val="26"/>
          <w:szCs w:val="26"/>
        </w:rPr>
        <w:t>- заместитель руководителя управления-начальник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Винницкая П.Д. – заместитель начальника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Левашова Н.Д. – специалист 1 разряда отдела контроля закупок, при участии посредством видеоконференц-связи представителей: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Комитета по управлению имуществом муниципального образования городской округ город Торжок Тверской области (далее – Заказчик): Татаровой А.В. (по доверенности),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ООО «АВТОМОБИЛИ И СПЕЦТЕХНИКА»(далее — Заявитель): Раковой Е.А. (по доверенности),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38100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представители МКУ города Торжка «Центр по обеспечению деятельности органов местного самоуправления» (далее </w:t>
      </w:r>
      <w:r>
        <w:rPr>
          <w:rStyle w:val="CharStyle11"/>
          <w:sz w:val="26"/>
          <w:szCs w:val="26"/>
          <w:lang w:val="en-US" w:eastAsia="en-US"/>
        </w:rPr>
        <w:t xml:space="preserve">— </w:t>
      </w:r>
      <w:r>
        <w:rPr>
          <w:rStyle w:val="CharStyle11"/>
          <w:sz w:val="26"/>
          <w:szCs w:val="26"/>
        </w:rPr>
        <w:t>Уполномоченный орган) на заседание комиссии не явились, о дате и времени рассмотрения уведомлены надлежащим образом,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рассмотрев посредством системы видеоконференц-связи жалобу Заявителя на действия Заказчика, при проведении электронного аукциона </w:t>
      </w:r>
      <w:r>
        <w:rPr>
          <w:rStyle w:val="CharStyle11"/>
          <w:sz w:val="26"/>
          <w:szCs w:val="26"/>
          <w:lang w:val="en-US" w:eastAsia="en-US"/>
        </w:rPr>
        <w:t xml:space="preserve">№ 0836300000526000041 </w:t>
      </w:r>
      <w:r>
        <w:rPr>
          <w:rStyle w:val="CharStyle11"/>
          <w:sz w:val="26"/>
          <w:szCs w:val="26"/>
        </w:rPr>
        <w:t xml:space="preserve">на приобретение трактора Беларус </w:t>
      </w:r>
      <w:r>
        <w:rPr>
          <w:rStyle w:val="CharStyle11"/>
          <w:sz w:val="26"/>
          <w:szCs w:val="26"/>
          <w:lang w:val="en-US" w:eastAsia="en-US"/>
        </w:rPr>
        <w:t xml:space="preserve">82.1 </w:t>
      </w:r>
      <w:r>
        <w:rPr>
          <w:rStyle w:val="CharStyle11"/>
          <w:sz w:val="26"/>
          <w:szCs w:val="26"/>
        </w:rPr>
        <w:t xml:space="preserve">(или эквивалент) с передним мостом балочного типа с навесным оборудованием </w:t>
      </w:r>
      <w:r>
        <w:rPr>
          <w:rStyle w:val="CharStyle11"/>
          <w:sz w:val="26"/>
          <w:szCs w:val="26"/>
          <w:lang w:val="en-US" w:eastAsia="en-US"/>
        </w:rPr>
        <w:t>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и проведя в соответствии с п. </w:t>
      </w:r>
      <w:r>
        <w:rPr>
          <w:rStyle w:val="CharStyle11"/>
          <w:sz w:val="26"/>
          <w:szCs w:val="26"/>
          <w:lang w:val="en-US" w:eastAsia="en-US"/>
        </w:rPr>
        <w:t xml:space="preserve">1 </w:t>
      </w:r>
      <w:r>
        <w:rPr>
          <w:rStyle w:val="CharStyle11"/>
          <w:sz w:val="26"/>
          <w:szCs w:val="26"/>
        </w:rPr>
        <w:t xml:space="preserve">ч. </w:t>
      </w:r>
      <w:r>
        <w:rPr>
          <w:rStyle w:val="CharStyle11"/>
          <w:sz w:val="26"/>
          <w:szCs w:val="26"/>
          <w:lang w:val="en-US" w:eastAsia="en-US"/>
        </w:rPr>
        <w:t xml:space="preserve">15 </w:t>
      </w:r>
      <w:r>
        <w:rPr>
          <w:rStyle w:val="CharStyle11"/>
          <w:sz w:val="26"/>
          <w:szCs w:val="26"/>
        </w:rPr>
        <w:t xml:space="preserve">ст. </w:t>
      </w:r>
      <w:r>
        <w:rPr>
          <w:rStyle w:val="CharStyle11"/>
          <w:sz w:val="26"/>
          <w:szCs w:val="26"/>
          <w:lang w:val="en-US" w:eastAsia="en-US"/>
        </w:rPr>
        <w:t xml:space="preserve">99 </w:t>
      </w:r>
      <w:r>
        <w:rPr>
          <w:rStyle w:val="CharStyle11"/>
          <w:sz w:val="26"/>
          <w:szCs w:val="26"/>
        </w:rPr>
        <w:t xml:space="preserve">Федерального закона от </w:t>
      </w:r>
      <w:r>
        <w:rPr>
          <w:rStyle w:val="CharStyle11"/>
          <w:sz w:val="26"/>
          <w:szCs w:val="26"/>
          <w:lang w:val="en-US" w:eastAsia="en-US"/>
        </w:rPr>
        <w:t xml:space="preserve">05.04.2013 № 44- </w:t>
      </w:r>
      <w:r>
        <w:rPr>
          <w:rStyle w:val="CharStyle11"/>
          <w:sz w:val="26"/>
          <w:szCs w:val="26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sz w:val="26"/>
          <w:szCs w:val="26"/>
          <w:lang w:val="en-US" w:eastAsia="en-US"/>
        </w:rPr>
        <w:t xml:space="preserve">– </w:t>
      </w:r>
      <w:r>
        <w:rPr>
          <w:rStyle w:val="CharStyle11"/>
          <w:sz w:val="26"/>
          <w:szCs w:val="26"/>
        </w:rPr>
        <w:t>Закон о контрактной системе) внеплановую проверку,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23" w:lineRule="auto"/>
        <w:ind w:left="0" w:right="0" w:firstLine="0"/>
        <w:jc w:val="center"/>
      </w:pPr>
      <w:bookmarkStart w:id="2" w:name="bookmark2"/>
      <w:r>
        <w:rPr>
          <w:rStyle w:val="CharStyle18"/>
        </w:rPr>
        <w:t>УСТАНОВИЛА: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  <w:lang w:val="en-US" w:eastAsia="en-US"/>
        </w:rPr>
        <w:t xml:space="preserve">09.04.2026 </w:t>
      </w:r>
      <w:r>
        <w:rPr>
          <w:rStyle w:val="CharStyle11"/>
          <w:sz w:val="26"/>
          <w:szCs w:val="26"/>
        </w:rPr>
        <w:t xml:space="preserve">Заказчиком в единой информационной системе в сфере закупок размещено извещение о проведении электронного аукциона </w:t>
      </w:r>
      <w:r>
        <w:rPr>
          <w:rStyle w:val="CharStyle11"/>
          <w:sz w:val="26"/>
          <w:szCs w:val="26"/>
          <w:lang w:val="en-US" w:eastAsia="en-US"/>
        </w:rPr>
        <w:t xml:space="preserve">№ 0836300000526000041 </w:t>
      </w:r>
      <w:r>
        <w:rPr>
          <w:rStyle w:val="CharStyle11"/>
          <w:sz w:val="26"/>
          <w:szCs w:val="26"/>
        </w:rPr>
        <w:t xml:space="preserve">на приобретение ттрактора Беларус </w:t>
      </w:r>
      <w:r>
        <w:rPr>
          <w:rStyle w:val="CharStyle11"/>
          <w:sz w:val="26"/>
          <w:szCs w:val="26"/>
          <w:lang w:val="en-US" w:eastAsia="en-US"/>
        </w:rPr>
        <w:t xml:space="preserve">82.1 </w:t>
      </w:r>
      <w:r>
        <w:rPr>
          <w:rStyle w:val="CharStyle11"/>
          <w:sz w:val="26"/>
          <w:szCs w:val="26"/>
        </w:rPr>
        <w:t xml:space="preserve">(или эквивалент) с передним мостом балочного типа с навесным оборудованием (далее </w:t>
      </w:r>
      <w:r>
        <w:rPr>
          <w:rStyle w:val="CharStyle11"/>
          <w:sz w:val="26"/>
          <w:szCs w:val="26"/>
          <w:lang w:val="en-US" w:eastAsia="en-US"/>
        </w:rPr>
        <w:t xml:space="preserve">– </w:t>
      </w:r>
      <w:r>
        <w:rPr>
          <w:rStyle w:val="CharStyle11"/>
          <w:sz w:val="26"/>
          <w:szCs w:val="26"/>
        </w:rPr>
        <w:t>Закупка, Аукцион).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В Тверское УФАС России </w:t>
      </w:r>
      <w:r>
        <w:rPr>
          <w:rStyle w:val="CharStyle11"/>
          <w:sz w:val="26"/>
          <w:szCs w:val="26"/>
          <w:lang w:val="en-US" w:eastAsia="en-US"/>
        </w:rPr>
        <w:t xml:space="preserve">20.04.2026 </w:t>
      </w:r>
      <w:r>
        <w:rPr>
          <w:rStyle w:val="CharStyle11"/>
          <w:sz w:val="26"/>
          <w:szCs w:val="26"/>
        </w:rPr>
        <w:t>поступила жалоба Заявителя на действия (бездействия) Заказчика при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Согласно доводу жалобы, закупочной комиссией неправомерно допущен участник, признанный победителем закупки, т.к участником представлена недостоверная информация о товаре, не представлена информация о совокупном количестве баллов.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>Комиссия Тверского УФАС России, рассмотрев материалы дела, приходит к следующим выводам.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соответствии с Извещением, протоколами, составленными в ходе проведения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извещение размещено в ЕИС </w:t>
      </w:r>
      <w:r>
        <w:rPr>
          <w:rStyle w:val="CharStyle11"/>
          <w:lang w:val="en-US" w:eastAsia="en-US"/>
        </w:rPr>
        <w:t>– 09.04.2026;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способ определения поставщика (подрядчика, исполнителя)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электронный аукцион;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начальная (максимальная) цена контракта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НМЦК) </w:t>
      </w:r>
      <w:r>
        <w:rPr>
          <w:rStyle w:val="CharStyle11"/>
          <w:lang w:val="en-US" w:eastAsia="en-US"/>
        </w:rPr>
        <w:t xml:space="preserve">– 3 939 750,00 </w:t>
      </w:r>
      <w:r>
        <w:rPr>
          <w:rStyle w:val="CharStyle11"/>
        </w:rPr>
        <w:t>руб.;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 xml:space="preserve">дата подведения итогов определения поставщика </w:t>
      </w:r>
      <w:r>
        <w:rPr>
          <w:rStyle w:val="CharStyle11"/>
          <w:lang w:val="en-US" w:eastAsia="en-US"/>
        </w:rPr>
        <w:t xml:space="preserve">– 17.04.2026, </w:t>
      </w:r>
      <w:r>
        <w:rPr>
          <w:rStyle w:val="CharStyle11"/>
        </w:rPr>
        <w:t xml:space="preserve">подано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>заявок, все заявки признаны соответствующими требованиям, определен победитель.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1, </w:t>
      </w:r>
      <w:r>
        <w:rPr>
          <w:rStyle w:val="CharStyle11"/>
        </w:rPr>
        <w:t xml:space="preserve">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системе, извещение об осуществлении закупки должно содержать описание объекта закупки в соответствии со 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контрактной системе описание объекта закупки в соответствии с требованиями, указанными в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Правительство Российской Федерации: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вправе с учетом положений ч.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принимать меры, устанавливающие: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контрактной системе при осуществлении закупки товара если Правительством Российской Федерации установлено предусмотренное пп. «б»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контрактной системе ограничение закупок товара: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Объектом закупки является: </w:t>
      </w:r>
      <w:r>
        <w:rPr>
          <w:rStyle w:val="CharStyle11"/>
          <w:lang w:val="en-US" w:eastAsia="en-US"/>
        </w:rPr>
        <w:t xml:space="preserve">28.30.20.000-00000031 </w:t>
      </w:r>
      <w:r>
        <w:rPr>
          <w:rStyle w:val="CharStyle11"/>
        </w:rPr>
        <w:t>«Трактор».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описании объекта закупки указаны функциональные, технические и качественные характеристики объекта закупки, описание объекта закупки содержит показатели, позволяющие определить соответствие закупаемого товара установленным заказчиком требованиям, и это позволяло участниками закупки сделать предложения в отношении объекта закупки, включающие характеристики предлагаемых участниками закупки товаров, соответствующие извещению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 описанием объект закупки предусмотрены характеристики: «Быстросъемный универсальный навесной погрузчик», «коммунальная щетка с системой полива», «Отвал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универсальный, усиленный гидроповоротный», «Ковш челюстной».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1"/>
        </w:rPr>
        <w:t xml:space="preserve">Победителем закупки предложен товар производства АО «ЧЕРЕПОВЕЦКИЙ ЛИТЕЙНОМЕХАНИЧЕСКИЙ ЗАВОД», номер реестровой записи </w:t>
      </w:r>
      <w:r>
        <w:rPr>
          <w:rStyle w:val="CharStyle11"/>
          <w:lang w:val="en-US" w:eastAsia="en-US"/>
        </w:rPr>
        <w:t>10493399.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Заявителем в дополнении к жалобе указано следующее: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«Победитель предложил товар «Машина коммунальная модели МК.ОЗ» (выписка из реестра российской промышленности с номером </w:t>
      </w:r>
      <w:r>
        <w:rPr>
          <w:rStyle w:val="CharStyle11"/>
          <w:i/>
          <w:iCs/>
          <w:lang w:val="en-US" w:eastAsia="en-US"/>
        </w:rPr>
        <w:t xml:space="preserve">10493399, </w:t>
      </w:r>
      <w:r>
        <w:rPr>
          <w:rStyle w:val="CharStyle11"/>
          <w:i/>
          <w:iCs/>
        </w:rPr>
        <w:t xml:space="preserve">код промышленной продукции по ОК0342014 (ОКПД2): </w:t>
      </w:r>
      <w:r>
        <w:rPr>
          <w:rStyle w:val="CharStyle11"/>
          <w:i/>
          <w:iCs/>
          <w:lang w:val="en-US" w:eastAsia="en-US"/>
        </w:rPr>
        <w:t xml:space="preserve">29.10.59.130), </w:t>
      </w:r>
      <w:r>
        <w:rPr>
          <w:rStyle w:val="CharStyle11"/>
          <w:i/>
          <w:iCs/>
        </w:rPr>
        <w:t>который не соответствует техническому заданию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Согласно техническому описанию и инструкции по эксплуатации, выдаваемого на данный вид товара заводом-производителем Коммунальная машина МК.ОЗ укомплектована только щеточным устройством (без системы полива) и фронтальным погрузчиком, характеристики и описание которого приведены на страницах инструкции </w:t>
      </w:r>
      <w:r>
        <w:rPr>
          <w:rStyle w:val="CharStyle11"/>
          <w:i/>
          <w:iCs/>
          <w:lang w:val="en-US" w:eastAsia="en-US"/>
        </w:rPr>
        <w:t>№ 2,3,5.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Согласно данного описания, фронтальный погрузчик имеет грузоподъемность не более </w:t>
      </w:r>
      <w:r>
        <w:rPr>
          <w:rStyle w:val="CharStyle11"/>
          <w:i/>
          <w:iCs/>
          <w:lang w:val="en-US" w:eastAsia="en-US"/>
        </w:rPr>
        <w:t xml:space="preserve">1000 </w:t>
      </w:r>
      <w:r>
        <w:rPr>
          <w:rStyle w:val="CharStyle11"/>
          <w:i/>
          <w:iCs/>
        </w:rPr>
        <w:t>кг. в данной модели прописан ковш, не являющийся челюстным. Никакого другого навесного оборудования, кроме щетки и погрузчика с нечелюстным ковшом в данной модели не предусмотрено производителем.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Важно отметить: в данной модели не предусмотрен универсальный гидроповоротный отвал на раму трактора, вилы транспортные усиленные с регулировкой по ширине, отсутствует указание на джойстиковое управление погрузчиком, отсутствует система полива на щетку. )|ц указано производителем как в характеристиках </w:t>
      </w:r>
      <w:r>
        <w:rPr>
          <w:rStyle w:val="CharStyle11"/>
          <w:i/>
          <w:iCs/>
          <w:lang w:val="en-US" w:eastAsia="en-US"/>
        </w:rPr>
        <w:t xml:space="preserve">пнеiрукции </w:t>
      </w:r>
      <w:r>
        <w:rPr>
          <w:rStyle w:val="CharStyle11"/>
          <w:i/>
          <w:iCs/>
        </w:rPr>
        <w:t>на ар.Злак и в схеме картинке на стр.5.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>Заказчиком в техническом задании четко определено, что: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установленный на трактор погрузчик должен иметь грузоподъемность более или равно </w:t>
      </w:r>
      <w:r>
        <w:rPr>
          <w:rStyle w:val="CharStyle11"/>
          <w:i/>
          <w:iCs/>
          <w:lang w:val="en-US" w:eastAsia="en-US"/>
        </w:rPr>
        <w:t xml:space="preserve">1600 </w:t>
      </w:r>
      <w:r>
        <w:rPr>
          <w:rStyle w:val="CharStyle11"/>
          <w:i/>
          <w:iCs/>
        </w:rPr>
        <w:t xml:space="preserve">кг, быть быстросъемным, укомплектованным джостиковым управлением (трехсекционный гидрораспределитель, электромагнитным клапаном, с двумя плавающими режимами); усиленные гидроцилиндры подъема стрелы размером </w:t>
      </w:r>
      <w:r>
        <w:rPr>
          <w:rStyle w:val="CharStyle11"/>
          <w:i/>
          <w:iCs/>
          <w:lang w:val="en-US" w:eastAsia="en-US"/>
        </w:rPr>
        <w:t xml:space="preserve">80x40-5480-860, </w:t>
      </w:r>
      <w:r>
        <w:rPr>
          <w:rStyle w:val="CharStyle11"/>
          <w:i/>
          <w:iCs/>
        </w:rPr>
        <w:t xml:space="preserve">адаптар для быстрой замены оборудования; Еврокрепления (возможность установки рабочих органов любого производителя под данный стандарт), БРС рабочих органов, БРС с трактора,комплект, БРС муфт (4шт). на правый подрамник. Все шарнирные соединения оснащены подшипниками скольжения, смазка осуществляется через пресс-масленки; -челюстной ковш с зубъями объемом 0,8мЗ, массу </w:t>
      </w:r>
      <w:r>
        <w:rPr>
          <w:rStyle w:val="CharStyle11"/>
          <w:i/>
          <w:iCs/>
          <w:lang w:val="en-US" w:eastAsia="en-US"/>
        </w:rPr>
        <w:t xml:space="preserve">&gt; 380 </w:t>
      </w:r>
      <w:r>
        <w:rPr>
          <w:rStyle w:val="CharStyle11"/>
          <w:i/>
          <w:iCs/>
        </w:rPr>
        <w:t>кг;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>отвал универсальный гидроповоротный, который должен быть установлен строго на раму трактора, с усиленным гидроцилиндром подъема-опускания отвала, с одной стороны резиновые ножи, с другой стороны металлические ножи и имеющий указанные характеристики;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>вилы транспортные усиленные с регулировкой по ширине грузоподъемностью более или равно 1500кг;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>коммунальная щетка должна быть укомплектована системой полива (бак для воды 500л, насос,форсунки).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На основании вышеизложенного, Заказчик неправомерно признал заявку победителя соответствующей, г.к. «Машина коммунальная модели МК.ОЗ» (выписка из реестра российской промышленности с номером </w:t>
      </w:r>
      <w:r>
        <w:rPr>
          <w:rStyle w:val="CharStyle11"/>
          <w:i/>
          <w:iCs/>
          <w:lang w:val="en-US" w:eastAsia="en-US"/>
        </w:rPr>
        <w:t xml:space="preserve">10493399, </w:t>
      </w:r>
      <w:r>
        <w:rPr>
          <w:rStyle w:val="CharStyle11"/>
          <w:i/>
          <w:iCs/>
        </w:rPr>
        <w:t xml:space="preserve">код промышленной продукции но ОК0342014 (ОКГ1Д2): </w:t>
      </w:r>
      <w:r>
        <w:rPr>
          <w:rStyle w:val="CharStyle11"/>
          <w:i/>
          <w:iCs/>
          <w:lang w:val="en-US" w:eastAsia="en-US"/>
        </w:rPr>
        <w:t xml:space="preserve">29.10.59.130) </w:t>
      </w:r>
      <w:r>
        <w:rPr>
          <w:rStyle w:val="CharStyle11"/>
          <w:i/>
          <w:iCs/>
        </w:rPr>
        <w:t>нс является эквивалентом заявленного Заказчиком Товара, не соответствует техническим характеристикам. Участник закупки, предложивший данный товар, предоставил о нем недостоверные сведения, не имел права предлагать данный товар в качестве эквивалента.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i/>
          <w:iCs/>
        </w:rPr>
        <w:t xml:space="preserve">Если «Машина коммунальная модели МК.ОЗ» не имеет дополнительного оборудования и выпускается заводом без навески, то она не подвергалась переработке и является трактором, соответственно, должна сертифицироваться по коду ОКПД2 </w:t>
      </w:r>
      <w:r>
        <w:rPr>
          <w:rStyle w:val="CharStyle11"/>
          <w:i/>
          <w:iCs/>
          <w:lang w:val="en-US" w:eastAsia="en-US"/>
        </w:rPr>
        <w:t xml:space="preserve">28.30.2., </w:t>
      </w:r>
      <w:r>
        <w:rPr>
          <w:rStyle w:val="CharStyle11"/>
          <w:i/>
          <w:iCs/>
        </w:rPr>
        <w:t>т.е. иметь баллы и сертификат, завод АО «ЧЛМЗ» выпускает трактор «Беларус-82.1/35»».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о контрактной системе предусмотрено, что при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Управления также считает необходимым отметить, что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</w:t>
      </w:r>
      <w:r>
        <w:rPr>
          <w:rStyle w:val="CharStyle11"/>
          <w:lang w:val="en-US" w:eastAsia="en-US"/>
        </w:rPr>
        <w:t xml:space="preserve">24.02.2005 № 3 </w:t>
      </w:r>
      <w:r>
        <w:rPr>
          <w:rStyle w:val="CharStyle11"/>
        </w:rPr>
        <w:t xml:space="preserve">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</w:t>
      </w:r>
      <w:r>
        <w:rPr>
          <w:rStyle w:val="CharStyle11"/>
          <w:lang w:val="en-US" w:eastAsia="en-US"/>
        </w:rPr>
        <w:t>7).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1"/>
        </w:rPr>
        <w:t xml:space="preserve">Каких-либо оснований сомневаться в достоверности представленных в них сведений в контексте 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>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комиссии Заказчика не имелось, неопровержимыми доказательствами недостоверности таких сведений последний не располагал.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позиции, изложенной в письме Министерства промышленности и торговли РФ от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октября </w:t>
      </w:r>
      <w:r>
        <w:rPr>
          <w:rStyle w:val="CharStyle11"/>
          <w:lang w:val="en-US" w:eastAsia="en-US"/>
        </w:rPr>
        <w:t xml:space="preserve">2023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106238/12, </w:t>
      </w:r>
      <w:r>
        <w:rPr>
          <w:rStyle w:val="CharStyle11"/>
        </w:rPr>
        <w:t>информация из каталога ГИСП может содержать информацию, отличную от той, которая была внесена в реестр, и носить ознакомительный характер. Также не вся промышленная продукция (товар), фигурирующая в вышеуказанном каталоге, может быть включена в реестр. Таким образом, заказчику не следует отклонять реестровую запись участника закупки из реестра, представившего ее на промышленную продукцию (товар), в случае, если она соответствует положениям «национального режима» в рамках Закона о контрактной системе, но при этом в каталоге ГИСП на указанную продукцию не содержится исчерпывающей информации, требуемой для удовлетворения положениям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Заявка победителя содержит технические характеристики, соответствующие описанию объекта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Кроме того, выявить не соответствие товара, указанного в заявке, возможно только при приемке товара. В ходе исполнения контракта могли быть установлены недостоверность сведений, указанных в заявке, что является основанием для расторжения контракта и включения информации о таком поставщике в РНП, поскольку связано с существенным нарушением условий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Также Заявителем не представлено доказательств, что победителем закупки при исполнении контракта будет представлена техническая документация, которая была представлена Заявителем в рамках 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отклоняет ходатайство Заявителя о запросе у АО «ЧЛМЗ» «ТУ </w:t>
      </w:r>
      <w:r>
        <w:rPr>
          <w:rStyle w:val="CharStyle11"/>
          <w:lang w:val="en-US" w:eastAsia="en-US"/>
        </w:rPr>
        <w:t>4853-018</w:t>
        <w:softHyphen/>
        <w:t xml:space="preserve">01216736-2013 </w:t>
      </w:r>
      <w:r>
        <w:rPr>
          <w:rStyle w:val="CharStyle11"/>
        </w:rPr>
        <w:t xml:space="preserve">«Машины коммунальные», поскольку сроки рассмотрения жалобы являются крайне ограниченными (часть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 xml:space="preserve">Закона о контрактной системе), кроме того не представлено доказательств, что поставляемый товар будет произведен именно по ТУ </w:t>
      </w:r>
      <w:r>
        <w:rPr>
          <w:rStyle w:val="CharStyle11"/>
          <w:lang w:val="en-US" w:eastAsia="en-US"/>
        </w:rPr>
        <w:t>4853-018</w:t>
        <w:softHyphen/>
        <w:t>01216736-2013.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 этом Заявителем не представлено подтверждений, что участниками закупки в составе заявок представлены недостоверные сведения. Заявки участников содержат технические характеристики, которые соответствуют описанию объекта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 Комиссия приходит к выводу, что у закупочной комиссии отсутствовали основания для отклонения заявки победителя в связи с предоставлением недостоверной информации.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части отсутствия необходимого количества баллов в заявке победителя, Комиссия сообщает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данном случае победителем к заявке на участие в закупке указан номер из реестра российской промышленной продукции </w:t>
      </w:r>
      <w:r>
        <w:rPr>
          <w:rStyle w:val="CharStyle11"/>
          <w:lang w:val="en-US" w:eastAsia="en-US"/>
        </w:rPr>
        <w:t xml:space="preserve">№10493399 </w:t>
      </w:r>
      <w:r>
        <w:rPr>
          <w:rStyle w:val="CharStyle11"/>
        </w:rPr>
        <w:t xml:space="preserve">в которой указан код ОКПД </w:t>
      </w:r>
      <w:r>
        <w:rPr>
          <w:rStyle w:val="CharStyle11"/>
          <w:lang w:val="en-US" w:eastAsia="en-US"/>
        </w:rPr>
        <w:t>2 29.10.59.130.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Товар с кодом ОКПД2 </w:t>
      </w:r>
      <w:r>
        <w:rPr>
          <w:rStyle w:val="CharStyle11"/>
          <w:lang w:val="en-US" w:eastAsia="en-US"/>
        </w:rPr>
        <w:t xml:space="preserve">- 29.10.59.130 </w:t>
      </w:r>
      <w:r>
        <w:rPr>
          <w:rStyle w:val="CharStyle11"/>
        </w:rPr>
        <w:t xml:space="preserve">«Средства транспортные для коммунального хозяйства и содержания дорог» содержится в разделе </w:t>
      </w:r>
      <w:r>
        <w:rPr>
          <w:rStyle w:val="CharStyle11"/>
          <w:lang w:val="en-US" w:eastAsia="en-US"/>
        </w:rPr>
        <w:t xml:space="preserve">III </w:t>
      </w:r>
      <w:r>
        <w:rPr>
          <w:rStyle w:val="CharStyle11"/>
        </w:rPr>
        <w:t xml:space="preserve">«Продукция отрасли специального машиностроения» приложения 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17.07.2015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719 </w:t>
      </w:r>
      <w:r>
        <w:rPr>
          <w:rStyle w:val="CharStyle11"/>
        </w:rPr>
        <w:t xml:space="preserve">«О подтверждении производства российской промышленной продукции»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Постановление </w:t>
      </w:r>
      <w:r>
        <w:rPr>
          <w:rStyle w:val="CharStyle11"/>
          <w:lang w:val="en-US" w:eastAsia="en-US"/>
        </w:rPr>
        <w:t>№ 719).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целях отнесения продукции с кодом ОКПД2 </w:t>
      </w:r>
      <w:r>
        <w:rPr>
          <w:rStyle w:val="CharStyle11"/>
          <w:lang w:val="en-US" w:eastAsia="en-US"/>
        </w:rPr>
        <w:t xml:space="preserve">- 29.10.59.130 </w:t>
      </w:r>
      <w:r>
        <w:rPr>
          <w:rStyle w:val="CharStyle11"/>
        </w:rPr>
        <w:t xml:space="preserve">к промышленной продукции, произведенной на территории Российской Федерации, необходимо подтвердить выполнение требований, определенных Постановлением </w:t>
      </w:r>
      <w:r>
        <w:rPr>
          <w:rStyle w:val="CharStyle11"/>
          <w:lang w:val="en-US" w:eastAsia="en-US"/>
        </w:rPr>
        <w:t>№ 719.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Критериев, требующих достижения баллов, для продукции с кодом ОКПД </w:t>
      </w:r>
      <w:r>
        <w:rPr>
          <w:rStyle w:val="CharStyle11"/>
          <w:lang w:val="en-US" w:eastAsia="en-US"/>
        </w:rPr>
        <w:t xml:space="preserve">2 29.10.59.130 </w:t>
      </w:r>
      <w:r>
        <w:rPr>
          <w:rStyle w:val="CharStyle11"/>
        </w:rPr>
        <w:t xml:space="preserve">Постановлением </w:t>
      </w:r>
      <w:r>
        <w:rPr>
          <w:rStyle w:val="CharStyle11"/>
          <w:lang w:val="en-US" w:eastAsia="en-US"/>
        </w:rPr>
        <w:t xml:space="preserve">№ 719 </w:t>
      </w:r>
      <w:r>
        <w:rPr>
          <w:rStyle w:val="CharStyle11"/>
        </w:rPr>
        <w:t>не предусмотрено.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Таким образом, необходимо различать критерии отнесения продукции к товарам российского происхождения для кодов ОКПД </w:t>
      </w:r>
      <w:r>
        <w:rPr>
          <w:rStyle w:val="CharStyle11"/>
          <w:lang w:val="en-US" w:eastAsia="en-US"/>
        </w:rPr>
        <w:t xml:space="preserve">2 29.10.59.130 </w:t>
      </w:r>
      <w:r>
        <w:rPr>
          <w:rStyle w:val="CharStyle11"/>
        </w:rPr>
        <w:t xml:space="preserve">и для </w:t>
      </w:r>
      <w:r>
        <w:rPr>
          <w:rStyle w:val="CharStyle11"/>
          <w:lang w:val="en-US" w:eastAsia="en-US"/>
        </w:rPr>
        <w:t xml:space="preserve">28.30.20.000, </w:t>
      </w:r>
      <w:r>
        <w:rPr>
          <w:rStyle w:val="CharStyle11"/>
        </w:rPr>
        <w:t>так как критерии для последнего кода определены в виде бальной системы.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Вместе с тем, поскольку код ОКПД2 </w:t>
      </w:r>
      <w:r>
        <w:rPr>
          <w:rStyle w:val="CharStyle11"/>
          <w:lang w:val="en-US" w:eastAsia="en-US"/>
        </w:rPr>
        <w:t xml:space="preserve">— 28.30.2 </w:t>
      </w:r>
      <w:r>
        <w:rPr>
          <w:rStyle w:val="CharStyle11"/>
        </w:rPr>
        <w:t xml:space="preserve">«Тракторы для сельского хозяйства прочие», применение к указанному товару критериев по коду ОКПД2- </w:t>
      </w:r>
      <w:r>
        <w:rPr>
          <w:rStyle w:val="CharStyle11"/>
          <w:lang w:val="en-US" w:eastAsia="en-US"/>
        </w:rPr>
        <w:t xml:space="preserve">29.10.59.130 </w:t>
      </w:r>
      <w:r>
        <w:rPr>
          <w:rStyle w:val="CharStyle11"/>
        </w:rPr>
        <w:t>«Средства транспортные для коммунального хозяйства и содержания дорог», не допускается.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Код ОКПД </w:t>
      </w:r>
      <w:r>
        <w:rPr>
          <w:rStyle w:val="CharStyle11"/>
          <w:lang w:val="en-US" w:eastAsia="en-US"/>
        </w:rPr>
        <w:t xml:space="preserve">2 29.10.59.130 </w:t>
      </w:r>
      <w:r>
        <w:rPr>
          <w:rStyle w:val="CharStyle11"/>
        </w:rPr>
        <w:t>«Средства транспортные для коммунального хозяйства и содержания дорог» продукции, содержащийся в своей реестре российской промышленной продукции, соотносится с предметом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Следовательно, к указанной продукции не применяется требование о совокупном количестве баллов, установленное Постановлением </w:t>
      </w:r>
      <w:r>
        <w:rPr>
          <w:rStyle w:val="CharStyle11"/>
          <w:lang w:val="en-US" w:eastAsia="en-US"/>
        </w:rPr>
        <w:t>№ 719.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абзаце втором подпункта «а»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Постановления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указано, что информацией и документами, подтверждающими страну происхождения товара для целей настоящего постановления, является номер реестровой записи из реестра российской промышленной продукции, содержащей в том числе информацию о совокупном количестве баллов за выполнение (освоение) на территории Российской Федерации соответствующих операций (условий) (</w:t>
      </w:r>
      <w:r>
        <w:rPr>
          <w:rStyle w:val="CharStyle11"/>
          <w:b/>
          <w:bCs/>
        </w:rPr>
        <w:t xml:space="preserve">если в отношении такого товара постановлением Правительства Российской Федерации от </w:t>
      </w:r>
      <w:r>
        <w:rPr>
          <w:rStyle w:val="CharStyle11"/>
          <w:b/>
          <w:bCs/>
          <w:lang w:val="en-US" w:eastAsia="en-US"/>
        </w:rPr>
        <w:t xml:space="preserve">17 </w:t>
      </w:r>
      <w:r>
        <w:rPr>
          <w:rStyle w:val="CharStyle11"/>
          <w:b/>
          <w:bCs/>
        </w:rPr>
        <w:t xml:space="preserve">июля </w:t>
      </w:r>
      <w:r>
        <w:rPr>
          <w:rStyle w:val="CharStyle11"/>
          <w:b/>
          <w:bCs/>
          <w:lang w:val="en-US" w:eastAsia="en-US"/>
        </w:rPr>
        <w:t xml:space="preserve">2015 </w:t>
      </w:r>
      <w:r>
        <w:rPr>
          <w:rStyle w:val="CharStyle11"/>
          <w:b/>
          <w:bCs/>
        </w:rPr>
        <w:t xml:space="preserve">г. </w:t>
      </w:r>
      <w:r>
        <w:rPr>
          <w:rStyle w:val="CharStyle11"/>
          <w:b/>
          <w:bCs/>
          <w:lang w:val="en-US" w:eastAsia="en-US"/>
        </w:rPr>
        <w:t xml:space="preserve">№ 719 </w:t>
      </w:r>
      <w:r>
        <w:rPr>
          <w:rStyle w:val="CharStyle11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</w:t>
      </w:r>
      <w:r>
        <w:rPr>
          <w:rStyle w:val="CharStyle11"/>
          <w:b/>
          <w:bCs/>
        </w:rPr>
        <w:t>установлены требования о совокупном количестве баллов</w:t>
      </w:r>
      <w:r>
        <w:rPr>
          <w:rStyle w:val="CharStyle11"/>
        </w:rPr>
        <w:t xml:space="preserve">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июля </w:t>
      </w:r>
      <w:r>
        <w:rPr>
          <w:rStyle w:val="CharStyle11"/>
          <w:lang w:val="en-US" w:eastAsia="en-US"/>
        </w:rPr>
        <w:t xml:space="preserve">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>№ 719.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данном случае, как уже было указано выше, на спорный товар, предложенный победителем, соответствующее требование совокупном количестве баллов, установленное Постановлением </w:t>
      </w:r>
      <w:r>
        <w:rPr>
          <w:rStyle w:val="CharStyle11"/>
          <w:lang w:val="en-US" w:eastAsia="en-US"/>
        </w:rPr>
        <w:t xml:space="preserve">№ 719, </w:t>
      </w:r>
      <w:r>
        <w:rPr>
          <w:rStyle w:val="CharStyle11"/>
        </w:rPr>
        <w:t>не распространяется.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1"/>
        </w:rPr>
        <w:t>Доводы жалобы не нашли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 xml:space="preserve">На основании вышеизложенного, руководствуясь ч. </w:t>
      </w:r>
      <w:r>
        <w:rPr>
          <w:rStyle w:val="CharStyle11"/>
          <w:sz w:val="26"/>
          <w:szCs w:val="26"/>
          <w:lang w:val="en-US" w:eastAsia="en-US"/>
        </w:rPr>
        <w:t xml:space="preserve">8 </w:t>
      </w:r>
      <w:r>
        <w:rPr>
          <w:rStyle w:val="CharStyle11"/>
          <w:sz w:val="26"/>
          <w:szCs w:val="26"/>
        </w:rPr>
        <w:t xml:space="preserve">ст. </w:t>
      </w:r>
      <w:r>
        <w:rPr>
          <w:rStyle w:val="CharStyle11"/>
          <w:sz w:val="26"/>
          <w:szCs w:val="26"/>
          <w:lang w:val="en-US" w:eastAsia="en-US"/>
        </w:rPr>
        <w:t xml:space="preserve">106 </w:t>
      </w:r>
      <w:r>
        <w:rPr>
          <w:rStyle w:val="CharStyle11"/>
          <w:sz w:val="26"/>
          <w:szCs w:val="26"/>
        </w:rPr>
        <w:t xml:space="preserve">Федерального закона от </w:t>
      </w:r>
      <w:r>
        <w:rPr>
          <w:rStyle w:val="CharStyle11"/>
          <w:sz w:val="26"/>
          <w:szCs w:val="26"/>
          <w:lang w:val="en-US" w:eastAsia="en-US"/>
        </w:rPr>
        <w:t xml:space="preserve">05.04.2013 № </w:t>
      </w:r>
      <w:r>
        <w:rPr>
          <w:rStyle w:val="CharStyle11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нужд», Комиссия Тверского УФАС России,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 w:line="221" w:lineRule="auto"/>
        <w:ind w:left="0" w:right="0" w:firstLine="0"/>
        <w:jc w:val="center"/>
      </w:pPr>
      <w:bookmarkStart w:id="4" w:name="bookmark4"/>
      <w:r>
        <w:rPr>
          <w:rStyle w:val="CharStyle18"/>
        </w:rPr>
        <w:t>РЕШИЛА: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21" w:lineRule="auto"/>
        <w:ind w:left="0" w:right="0" w:firstLine="720"/>
        <w:jc w:val="both"/>
        <w:rPr>
          <w:sz w:val="26"/>
          <w:szCs w:val="26"/>
        </w:rPr>
      </w:pPr>
      <w:r>
        <w:rPr>
          <w:rStyle w:val="CharStyle11"/>
          <w:sz w:val="26"/>
          <w:szCs w:val="26"/>
        </w:rPr>
        <w:t>Признать жалобу ООО «АВТОМОБИЛИ И СПЕЦТЕХНИКА»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21" w:lineRule="auto"/>
        <w:ind w:left="0" w:right="0" w:firstLine="720"/>
        <w:jc w:val="both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14" w:right="526" w:bottom="1326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  <w:sz w:val="26"/>
          <w:szCs w:val="26"/>
        </w:rPr>
        <w:t>Настоящее решение в течение трех месяцев со дня его изготовления может быть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right="550" w:bottom="1815" w:left="1106" w:header="0" w:footer="3" w:gutter="0"/>
          <w:cols w:space="720"/>
          <w:noEndnote/>
          <w:rtlGutter w:val="0"/>
          <w:docGrid w:linePitch="360"/>
        </w:sectPr>
      </w:pPr>
      <w:bookmarkStart w:id="6" w:name="bookmark6"/>
      <w:r>
        <w:rPr>
          <w:rStyle w:val="CharStyle18"/>
        </w:rPr>
        <w:t xml:space="preserve">обжаловано в Арбитражный суд Тверской области, находящийся по адресу: </w:t>
      </w:r>
      <w:r>
        <w:rPr>
          <w:rStyle w:val="CharStyle18"/>
          <w:lang w:val="en-US" w:eastAsia="en-US"/>
        </w:rPr>
        <w:t xml:space="preserve">170100 </w:t>
      </w:r>
      <w:r>
        <w:rPr>
          <w:rStyle w:val="CharStyle18"/>
        </w:rPr>
        <w:t xml:space="preserve">г. Тверь, пл. Святого Благоверного Князя Михаила Тверского, д. </w:t>
      </w:r>
      <w:r>
        <w:rPr>
          <w:rStyle w:val="CharStyle18"/>
          <w:lang w:val="en-US" w:eastAsia="en-US"/>
        </w:rPr>
        <w:t>5.</w:t>
      </w:r>
      <w:bookmarkEnd w:id="6"/>
    </w:p>
    <w:p>
      <w:pPr>
        <w:widowControl w:val="0"/>
        <w:spacing w:line="16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0" w:bottom="181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6118860</wp:posOffset>
                </wp:positionH>
                <wp:positionV relativeFrom="paragraph">
                  <wp:posOffset>234950</wp:posOffset>
                </wp:positionV>
                <wp:extent cx="1066800" cy="22225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1"/>
                                <w:sz w:val="26"/>
                                <w:szCs w:val="26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1.80000000000001pt;margin-top:18.5pt;width:84.pt;height:17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1"/>
                          <w:sz w:val="26"/>
                          <w:szCs w:val="26"/>
                        </w:rPr>
                        <w:t>Р.Р. Валиуллин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1"/>
          <w:sz w:val="26"/>
          <w:szCs w:val="26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4348" w:bottom="1815" w:left="1164" w:header="0" w:footer="3" w:gutter="0"/>
          <w:cols w:num="2" w:space="965"/>
          <w:noEndnote/>
          <w:rtlGutter w:val="0"/>
          <w:docGrid w:linePitch="360"/>
        </w:sectPr>
      </w:pPr>
      <w:r>
        <w:rPr>
          <w:rStyle w:val="CharStyle2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Валиуллин Раиль Рашадович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00F4AFC80E7F5D47A598DA27E8234E62EF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215900</wp:posOffset>
                </wp:positionV>
                <wp:extent cx="1237615" cy="23495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1"/>
                                <w:sz w:val="26"/>
                                <w:szCs w:val="26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7.pt;width:97.450000000000003pt;height:18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1"/>
                          <w:sz w:val="26"/>
                          <w:szCs w:val="26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7"/>
        </w:rPr>
        <w:t xml:space="preserve">Действителен с 25.03.2026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18.06.2027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6024245</wp:posOffset>
                </wp:positionH>
                <wp:positionV relativeFrom="paragraph">
                  <wp:posOffset>139700</wp:posOffset>
                </wp:positionV>
                <wp:extent cx="1161415" cy="23495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1"/>
                                <w:sz w:val="26"/>
                                <w:szCs w:val="26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4.35000000000002pt;margin-top:11.pt;width:91.450000000000003pt;height:18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1"/>
                          <w:sz w:val="26"/>
                          <w:szCs w:val="26"/>
                        </w:rPr>
                        <w:t>П.Д. Винницкая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ВИННИЦКАЯ ПОЛИНА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009D9470055B3DAB4EF0FB466573F4E656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drawing>
          <wp:anchor distT="0" distB="0" distL="114300" distR="1912620" simplePos="0" relativeHeight="125829385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266700</wp:posOffset>
            </wp:positionV>
            <wp:extent cx="335280" cy="3841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346075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pt;margin-top:27.2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7"/>
        </w:rPr>
        <w:t xml:space="preserve">Действителен с </w:t>
      </w:r>
      <w:r>
        <w:rPr>
          <w:rStyle w:val="CharStyle27"/>
          <w:color w:val="5E5E5E"/>
        </w:rPr>
        <w:t xml:space="preserve">29.12.2025 по </w:t>
      </w:r>
      <w:r>
        <w:rPr>
          <w:rStyle w:val="CharStyle27"/>
        </w:rPr>
        <w:t>24.03.2027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30" w:line="240" w:lineRule="auto"/>
        <w:ind w:left="1900" w:right="0" w:firstLine="0"/>
        <w:jc w:val="left"/>
      </w:pPr>
      <w:bookmarkStart w:id="8" w:name="bookmark8"/>
      <w:r>
        <w:rPr>
          <w:rStyle w:val="CharStyle18"/>
        </w:rPr>
        <w:t>Н.Д. Левашова</w:t>
      </w:r>
      <w:bookmarkEnd w:id="8"/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ЛЕВАШОВА НАТАЛИЯ ДИМИТРИЕВНА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009598F2AB9BD37128FFB1FC012C2910EB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400" w:line="240" w:lineRule="auto"/>
        <w:ind w:right="0" w:firstLine="0"/>
        <w:jc w:val="left"/>
      </w:pPr>
      <w:r>
        <w:rPr>
          <w:rStyle w:val="CharStyle27"/>
        </w:rPr>
        <w:t>Действителен с 25.03.2026 по 18.06.2027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000000"/>
        </w:rPr>
        <w:t>Исп.Винницкая П.Д.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  <w:color w:val="000000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10013315</wp:posOffset>
              </wp:positionV>
              <wp:extent cx="65849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2026-3267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99999999999999pt;margin-top:788.45000000000005pt;width:51.8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2026-3267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2026-3267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5.95000000000005pt;width:51.85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2026-3267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747395</wp:posOffset>
              </wp:positionV>
              <wp:extent cx="67310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58.850000000000001pt;width:5.2999999999999998pt;height:5.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8">
    <w:name w:val="Heading #1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Body text (3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7">
    <w:name w:val="Heading #1"/>
    <w:basedOn w:val="Normal"/>
    <w:link w:val="CharStyle8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spacing w:after="2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Body text (3)"/>
    <w:basedOn w:val="Normal"/>
    <w:link w:val="CharStyle22"/>
    <w:pPr>
      <w:widowControl w:val="0"/>
      <w:shd w:val="clear" w:color="auto" w:fill="auto"/>
      <w:spacing w:after="100"/>
      <w:ind w:left="15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