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655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01600" distL="25400" distR="254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1606550</wp:posOffset>
                </wp:positionV>
                <wp:extent cx="1216025" cy="5575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</w:rPr>
                              <w:t>29.</w:t>
                            </w:r>
                            <w:r>
                              <w:rPr>
                                <w:rStyle w:val="CharStyle6"/>
                                <w:sz w:val="30"/>
                                <w:szCs w:val="30"/>
                                <w:u w:val="single"/>
                              </w:rPr>
                              <w:t>04,2026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26.5pt;width:95.75pt;height:43.899999999999999pt;z-index:-125829375;mso-wrap-distance-left:2.pt;mso-wrap-distance-right:2.pt;mso-wrap-distance-bottom:8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30"/>
                          <w:szCs w:val="30"/>
                        </w:rPr>
                        <w:t>29.</w:t>
                      </w:r>
                      <w:r>
                        <w:rPr>
                          <w:rStyle w:val="CharStyle6"/>
                          <w:sz w:val="30"/>
                          <w:szCs w:val="30"/>
                          <w:u w:val="single"/>
                        </w:rPr>
                        <w:t>04,2026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10"/>
          <w:b/>
          <w:bCs/>
        </w:rPr>
        <w:t>ФЕДЕРАЛЬНАЯ</w:t>
        <w:br/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0"/>
          <w:b/>
          <w:bCs/>
        </w:rPr>
        <w:t>УПРАВЛЕНИЕ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г. Москве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10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10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30"/>
          <w:szCs w:val="30"/>
        </w:rPr>
      </w:pPr>
      <w:r>
        <w:rPr>
          <w:rStyle w:val="CharStyle6"/>
          <w:sz w:val="30"/>
          <w:szCs w:val="30"/>
          <w:u w:val="single"/>
        </w:rPr>
        <w:t>№ 17922/26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016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 xml:space="preserve">ОТ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6"/>
        </w:rPr>
        <w:t xml:space="preserve">ООО «ПФК Контур» </w:t>
      </w:r>
      <w:r>
        <w:fldChar w:fldCharType="begin"/>
      </w:r>
      <w:r>
        <w:rPr/>
        <w:instrText> HYPERLINK "mailto:9629497672@mail.ru" </w:instrText>
      </w:r>
      <w:r>
        <w:fldChar w:fldCharType="separate"/>
      </w:r>
      <w:r>
        <w:rPr>
          <w:rStyle w:val="CharStyle6"/>
          <w:lang w:val="en-US" w:eastAsia="en-US"/>
        </w:rPr>
        <w:t>9629497672@mail.ru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ГКУ «Дирекция ЖКХиБ САО»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"mailto:gendircomsao@pnao.mos.ru" </w:instrText>
      </w:r>
      <w:r>
        <w:fldChar w:fldCharType="separate"/>
      </w:r>
      <w:r>
        <w:rPr>
          <w:rStyle w:val="CharStyle6"/>
          <w:lang w:val="en-US" w:eastAsia="en-US"/>
        </w:rPr>
        <w:t>gendircomsao@pnao.mos.ru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6"/>
        </w:rPr>
        <w:t xml:space="preserve">ГБУ «Автомобильные дороги САО» </w:t>
      </w:r>
      <w:r>
        <w:fldChar w:fldCharType="begin"/>
      </w:r>
      <w:r>
        <w:rPr/>
        <w:instrText> HYPERLINK "mailto:tendergbusao@mail.ru" </w:instrText>
      </w:r>
      <w:r>
        <w:fldChar w:fldCharType="separate"/>
      </w:r>
      <w:r>
        <w:rPr>
          <w:rStyle w:val="CharStyle6"/>
          <w:lang w:val="en-US" w:eastAsia="en-US"/>
        </w:rPr>
        <w:t>tendergbusao@mail.ru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1136" w:bottom="708" w:left="1332" w:header="0" w:footer="3" w:gutter="0"/>
          <w:cols w:num="2" w:space="720" w:equalWidth="0">
            <w:col w:w="3869" w:space="1205"/>
            <w:col w:w="4358"/>
          </w:cols>
          <w:noEndnote/>
          <w:rtlGutter w:val="0"/>
          <w:docGrid w:linePitch="360"/>
        </w:sectPr>
      </w:pPr>
      <w:r>
        <w:rPr>
          <w:rStyle w:val="CharStyle6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6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11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7"/>
          <w:b/>
          <w:bCs/>
        </w:rPr>
        <w:t>РЕШЕНИЕ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0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406400</wp:posOffset>
                </wp:positionV>
                <wp:extent cx="1240790" cy="46609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24.04.2026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550000000000004pt;margin-top:32.pt;width:97.700000000000003pt;height:36.700000000000003pt;z-index:-125829373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24.04.2026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rStyle w:val="CharStyle6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b/>
          <w:bCs/>
        </w:rPr>
        <w:t>по делу № 077/06/105-5163/2026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6"/>
          <w:b/>
          <w:bCs/>
        </w:rPr>
        <w:t>г. Москва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по контролю в сфере закупок товаров, работ, услуг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Федеральной антимонопольной службы по г. Москве (далее –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Председательствующего — главного специалиста-эксперта отдела обжалования государственных закупок Е.Д. Мартьяновой,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Специалиста-эксперта отдела обжалования государственных закупок А.С. Гелмутдиновой,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 участии представителей ГБУ «Автомобильные дороги САО»: Е.Н. Бутылкиной (по дов. от 31.01.2024 №31/2), Е.Г. Суховерхова (по дов. от 23.04.2026 №23/1),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отсутствие представителей ООО «ПФК Контур», ГКУ «Дирекция ЖКХиБ САО»,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— ЕИС),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рассмотрев жалобу ООО «ПФК Контур» (далее — Заявитель) на действия ГБУ «Автомобильные дороги САО» (далее — Заказчик) при проведении открытого конкурса в электронной форме на право заключения государственного контракта на выполнение работ по разработке проектно-сметной документации на устройство катка по адресу: г. Москва, САО, район Тимирязевский, парк «Дубки» (Закупка №0373200018826000200) (далее – электронный конкурс, конкурс), в соответствии с Федеральным законом от 05.04.2013 №44-ФЗ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>Закон о контрактной системе),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  <w:b/>
          <w:bCs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1.В составе жалобы Заявитель указывает на наличие противоречивой информации в составе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Так, в приложении </w:t>
      </w:r>
      <w:r>
        <w:rPr>
          <w:rStyle w:val="CharStyle6"/>
          <w:lang w:val="en-US" w:eastAsia="en-US"/>
        </w:rPr>
        <w:t xml:space="preserve">№3 </w:t>
      </w:r>
      <w:r>
        <w:rPr>
          <w:rStyle w:val="CharStyle6"/>
        </w:rPr>
        <w:t xml:space="preserve">к Техническому заданию извещения определено, что не требуется перечень мероприятий по обеспечению доступности для маломобильных групп населения объектов и элементов благоустройства, в то время как в строке «Архитектурно-планировочная организация территории» указано следующее: «Мероприятия по организации пологих (не более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>процентов) путей для маломобильных групп населения».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Кроме того, в п.3.1.1.2.9 Технического задания отражено требование о разработке схемы организации маршрутов для маломобильных групп населения с размещением соответствующих информационных указателей.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По мнению Заявителя, отраженного в составе жалобы, указанное противоречие создает неопределенность понимания состава работ, что непосредственно влияет на формирование цены предложения участника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п.1 ч.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42 </w:t>
      </w:r>
      <w:r>
        <w:rPr>
          <w:rStyle w:val="CharStyle6"/>
        </w:rPr>
        <w:t>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6"/>
        </w:rPr>
        <w:t>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 xml:space="preserve">Комиссией Управления установлено, что согласно извещению об осуществлении электронного конкурса Заказчиком закупается выполнение работ по разработке проектно-сметной документации на устройство катка кода ОКПД2 </w:t>
      </w:r>
      <w:r>
        <w:rPr>
          <w:rStyle w:val="CharStyle6"/>
          <w:lang w:val="en-US" w:eastAsia="en-US"/>
        </w:rPr>
        <w:t xml:space="preserve">71.12.19.100 </w:t>
      </w:r>
      <w:r>
        <w:rPr>
          <w:rStyle w:val="CharStyle6"/>
        </w:rPr>
        <w:t>«Разработка проектной документации на благоустройство территории», при этом Техническим заданием извещения в том числе предусмотрено следующее: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  <w:lang w:val="en-US" w:eastAsia="en-US"/>
        </w:rPr>
        <w:t>«</w:t>
      </w:r>
      <w:r>
        <w:rPr>
          <w:rStyle w:val="CharStyle6"/>
          <w:i/>
          <w:iCs/>
          <w:lang w:val="en-US" w:eastAsia="en-US"/>
        </w:rPr>
        <w:t xml:space="preserve">2.1. </w:t>
      </w:r>
      <w:r>
        <w:rPr>
          <w:rStyle w:val="CharStyle6"/>
          <w:i/>
          <w:iCs/>
        </w:rPr>
        <w:t xml:space="preserve">Подрядчик обязан выполнить работы по разработке проектной документации на благоустройство территории в порядке и на условиях, предусмотренных Контрактом и настоящим Техническим заданием, а также в соответствии с законодательством Российской Федерации и города Москвы, требованиями технических регламентов, строительных норм и правил, государственных и межгосударственных стандартов, сводов правил, а также стандартов благоустройства в городе Москве, методических рекомендаций, утвержденных уполномоченными Правительством Москвы органами исполнительной власти города Москвы, и требованиями актов, указанных в разделе </w:t>
      </w:r>
      <w:r>
        <w:rPr>
          <w:rStyle w:val="CharStyle6"/>
          <w:i/>
          <w:iCs/>
          <w:lang w:val="en-US" w:eastAsia="en-US"/>
        </w:rPr>
        <w:t xml:space="preserve">7 </w:t>
      </w:r>
      <w:r>
        <w:rPr>
          <w:rStyle w:val="CharStyle6"/>
          <w:i/>
          <w:iCs/>
        </w:rPr>
        <w:t>настоящего Технического задания.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  <w:i/>
          <w:iCs/>
          <w:lang w:val="en-US" w:eastAsia="en-US"/>
        </w:rPr>
        <w:t xml:space="preserve">2.2. </w:t>
      </w:r>
      <w:r>
        <w:rPr>
          <w:rStyle w:val="CharStyle6"/>
          <w:i/>
          <w:iCs/>
        </w:rPr>
        <w:t xml:space="preserve">Настоящее Техническое задание определяет требования к разработке концепции благоустройства территории и разработке проектной документации на благоустройство территорий по адресам, указанным в Приложении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 xml:space="preserve">«Общие сведения о проектируемой территории» к настоящему Техническому заданию (далее </w:t>
      </w:r>
      <w:r>
        <w:rPr>
          <w:rStyle w:val="CharStyle6"/>
          <w:i/>
          <w:iCs/>
          <w:lang w:val="en-US" w:eastAsia="en-US"/>
        </w:rPr>
        <w:t xml:space="preserve">– </w:t>
      </w:r>
      <w:r>
        <w:rPr>
          <w:rStyle w:val="CharStyle6"/>
          <w:i/>
          <w:iCs/>
        </w:rPr>
        <w:t xml:space="preserve">объект), с учетом требований, установленных в Приложении </w:t>
      </w:r>
      <w:r>
        <w:rPr>
          <w:rStyle w:val="CharStyle6"/>
          <w:i/>
          <w:iCs/>
          <w:lang w:val="en-US" w:eastAsia="en-US"/>
        </w:rPr>
        <w:t xml:space="preserve">1 </w:t>
      </w:r>
      <w:r>
        <w:rPr>
          <w:rStyle w:val="CharStyle6"/>
          <w:i/>
          <w:iCs/>
        </w:rPr>
        <w:t xml:space="preserve">«Перечень объектов закупки», Приложении </w:t>
      </w:r>
      <w:r>
        <w:rPr>
          <w:rStyle w:val="CharStyle6"/>
          <w:i/>
          <w:iCs/>
          <w:lang w:val="en-US" w:eastAsia="en-US"/>
        </w:rPr>
        <w:t xml:space="preserve">3 </w:t>
      </w:r>
      <w:r>
        <w:rPr>
          <w:rStyle w:val="CharStyle6"/>
          <w:i/>
          <w:iCs/>
        </w:rPr>
        <w:t xml:space="preserve">«Основные требования к проектным решениям», Приложении </w:t>
      </w:r>
      <w:r>
        <w:rPr>
          <w:rStyle w:val="CharStyle6"/>
          <w:i/>
          <w:iCs/>
          <w:lang w:val="en-US" w:eastAsia="en-US"/>
        </w:rPr>
        <w:t xml:space="preserve">4 </w:t>
      </w:r>
      <w:r>
        <w:rPr>
          <w:rStyle w:val="CharStyle6"/>
          <w:i/>
          <w:iCs/>
        </w:rPr>
        <w:t xml:space="preserve">«Требования к согласованию проектной документации на благоустройство территории», Приложении </w:t>
      </w:r>
      <w:r>
        <w:rPr>
          <w:rStyle w:val="CharStyle6"/>
          <w:i/>
          <w:iCs/>
          <w:lang w:val="en-US" w:eastAsia="en-US"/>
        </w:rPr>
        <w:t xml:space="preserve">5 </w:t>
      </w:r>
      <w:r>
        <w:rPr>
          <w:rStyle w:val="CharStyle6"/>
          <w:i/>
          <w:iCs/>
        </w:rPr>
        <w:t>«Ситуационный план» к настоящему Техническому заданию.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  <w:i/>
          <w:iCs/>
        </w:rPr>
        <w:t>3.1.Подрядчик обязан: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  <w:i/>
          <w:iCs/>
          <w:lang w:val="en-US" w:eastAsia="en-US"/>
        </w:rPr>
        <w:t xml:space="preserve">3.1.1.2.9. </w:t>
      </w:r>
      <w:r>
        <w:rPr>
          <w:rStyle w:val="CharStyle6"/>
          <w:i/>
          <w:iCs/>
        </w:rPr>
        <w:t>Схему организации маршрутов для маломобильных групп населения с соответствующим размещением информационных указателей о таких маршрутах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 xml:space="preserve">В свою очередь, приложением </w:t>
      </w:r>
      <w:r>
        <w:rPr>
          <w:rStyle w:val="CharStyle6"/>
          <w:lang w:val="en-US" w:eastAsia="en-US"/>
        </w:rPr>
        <w:t xml:space="preserve">№ 3 </w:t>
      </w:r>
      <w:r>
        <w:rPr>
          <w:rStyle w:val="CharStyle6"/>
        </w:rPr>
        <w:t xml:space="preserve">к Техническому заданию также предусмотрено следующее требование к проектным </w:t>
      </w:r>
      <w:r>
        <w:rPr>
          <w:rStyle w:val="CharStyle6"/>
          <w:lang w:val="en-US" w:eastAsia="en-US"/>
        </w:rPr>
        <w:t xml:space="preserve">, </w:t>
      </w:r>
      <w:r>
        <w:rPr>
          <w:rStyle w:val="CharStyle6"/>
        </w:rPr>
        <w:t>в том числе: «А</w:t>
      </w:r>
      <w:r>
        <w:rPr>
          <w:rStyle w:val="CharStyle6"/>
          <w:i/>
          <w:iCs/>
        </w:rPr>
        <w:t>рхитектурно</w:t>
        <w:softHyphen/>
        <w:t>конструктивные решения. Мероприятия по организации пологих (не более 5процентов) путей для маломобильных групп населения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 xml:space="preserve">Кроме того, в приложении </w:t>
      </w:r>
      <w:r>
        <w:rPr>
          <w:rStyle w:val="CharStyle6"/>
          <w:lang w:val="en-US" w:eastAsia="en-US"/>
        </w:rPr>
        <w:t xml:space="preserve">№ 3 </w:t>
      </w:r>
      <w:r>
        <w:rPr>
          <w:rStyle w:val="CharStyle6"/>
        </w:rPr>
        <w:t>к Техническому заданию отражено в том числе следующее: «</w:t>
      </w:r>
      <w:r>
        <w:rPr>
          <w:rStyle w:val="CharStyle6"/>
          <w:i/>
          <w:iCs/>
        </w:rPr>
        <w:t>Перечень мероприятий по обеспечению доступности для маломобильных групп населения объектов и элементов благоустройства: Не требуется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>На заседании Комиссии Управления представитель Заказчика пояснил, что порядок разработки проекта благоустройства, а также состава требуемых работ, предусмотренных текущей закупкой, установлен постановлением Правительства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6"/>
        </w:rPr>
        <w:t xml:space="preserve">Москвы от </w:t>
      </w:r>
      <w:r>
        <w:rPr>
          <w:rStyle w:val="CharStyle6"/>
          <w:lang w:val="en-US" w:eastAsia="en-US"/>
        </w:rPr>
        <w:t xml:space="preserve">15.12.2017 № </w:t>
      </w:r>
      <w:r>
        <w:rPr>
          <w:rStyle w:val="CharStyle6"/>
        </w:rPr>
        <w:t xml:space="preserve">1013-ПП «Об утверждении Порядка разработки, согласования и утверждения проектов благоустройства территории»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Порядок).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В соответствии с п. </w:t>
      </w:r>
      <w:r>
        <w:rPr>
          <w:rStyle w:val="CharStyle6"/>
          <w:lang w:val="en-US" w:eastAsia="en-US"/>
        </w:rPr>
        <w:t xml:space="preserve">2.14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2.15 </w:t>
      </w:r>
      <w:r>
        <w:rPr>
          <w:rStyle w:val="CharStyle6"/>
        </w:rPr>
        <w:t>указанного Порядка, Заказчиком работ формируется техническое задание, в котором указываются основание для проектирования, общие сведения о территории, требования к отчетным материалам, перечню выполняемых работ и составу проекта благоустройства. Также техническим заданием устанавливаются технические требования к оформлению проекта благоустройства.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Таким образом, в текстовых материалах разрабатываемой проектно-сметной документации должны быть отображены все элементы сопряжения (бортовые камни), а также элементы обеспечения доступности маломобильных групп населения (пандусы, спуски, поручни). При этом такие элементы обеспечивают доступность не только маломобильных групп населения, но и всех категорий граждан. Указанные элементы сопряжения и благоустройства в составе раздела «Архитектурно-планировочная организация территории» в полной мере отображают перечень мероприятий, необходимых для безопасного передвижения граждан, в том числе маломобильных.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Комиссия Управления отмечает, так как в составе Технического задания также предусмотрено, что выполняемые работы должны соответствовать требованиям актов, указанных в разделе </w:t>
      </w:r>
      <w:r>
        <w:rPr>
          <w:rStyle w:val="CharStyle6"/>
          <w:lang w:val="en-US" w:eastAsia="en-US"/>
        </w:rPr>
        <w:t xml:space="preserve">7 </w:t>
      </w:r>
      <w:r>
        <w:rPr>
          <w:rStyle w:val="CharStyle6"/>
        </w:rPr>
        <w:t xml:space="preserve">Технического задания, в том числе </w:t>
      </w:r>
      <w:r>
        <w:rPr>
          <w:rStyle w:val="CharStyle6"/>
          <w:lang w:val="en-US" w:eastAsia="en-US"/>
        </w:rPr>
        <w:t xml:space="preserve">«7.5. </w:t>
      </w:r>
      <w:r>
        <w:rPr>
          <w:rStyle w:val="CharStyle6"/>
        </w:rPr>
        <w:t xml:space="preserve">Закон г. Москвы от </w:t>
      </w:r>
      <w:r>
        <w:rPr>
          <w:rStyle w:val="CharStyle6"/>
          <w:lang w:val="en-US" w:eastAsia="en-US"/>
        </w:rPr>
        <w:t xml:space="preserve">17.01.2001 № 3 </w:t>
      </w:r>
      <w:r>
        <w:rPr>
          <w:rStyle w:val="CharStyle6"/>
        </w:rPr>
        <w:t xml:space="preserve">«Об обеспечении беспрепятственного доступа инвалидов и иных маломобильных граждан к объектам социальной, транспортной и инженерной инфраструктур города Москвы», </w:t>
      </w:r>
      <w:r>
        <w:rPr>
          <w:rStyle w:val="CharStyle6"/>
          <w:lang w:val="en-US" w:eastAsia="en-US"/>
        </w:rPr>
        <w:t xml:space="preserve">«7.24. </w:t>
      </w:r>
      <w:r>
        <w:rPr>
          <w:rStyle w:val="CharStyle6"/>
        </w:rPr>
        <w:t xml:space="preserve">«СП </w:t>
      </w:r>
      <w:r>
        <w:rPr>
          <w:rStyle w:val="CharStyle6"/>
          <w:lang w:val="en-US" w:eastAsia="en-US"/>
        </w:rPr>
        <w:t xml:space="preserve">35-101-2001. </w:t>
      </w:r>
      <w:r>
        <w:rPr>
          <w:rStyle w:val="CharStyle6"/>
        </w:rPr>
        <w:t xml:space="preserve">Проектирование зданий и сооружений с учетом доступности для маломобильных групп населения. Общие положения» (одобрен Постановлением Госстроя РФ от </w:t>
      </w:r>
      <w:r>
        <w:rPr>
          <w:rStyle w:val="CharStyle6"/>
          <w:lang w:val="en-US" w:eastAsia="en-US"/>
        </w:rPr>
        <w:t>16.07.2001 № 70)».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Исходя из вышеизложенного, Комиссия Управления не может согласиться с позицией представителя Заказчика, поскольку из совокупности положений Технического задания следует, что исполнителю следует разработать перечень мероприятий по обеспечению доступности для маломобильных групп населения объектов и элементов благоустройства, при этом в приложении </w:t>
      </w:r>
      <w:r>
        <w:rPr>
          <w:rStyle w:val="CharStyle6"/>
          <w:lang w:val="en-US" w:eastAsia="en-US"/>
        </w:rPr>
        <w:t xml:space="preserve">№3 </w:t>
      </w:r>
      <w:r>
        <w:rPr>
          <w:rStyle w:val="CharStyle6"/>
        </w:rPr>
        <w:t>к Техническому заданию отражено, что данный перечень работ не требуется, что создает противоречие.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На основании вышеизложенного Комиссия Управления приходит к выводу о нарушении Заказчиком п.1 ч.1 ст.33 Закона о контрактной системе,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2.В составе жалобы Заявитель также отмечает, что в составе извещения Заказчиком не включены требования о разработке проекта организации строительства при выполнении работ по устройству катка с искусственным льдом.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При этом, как конкретизировано в жалобе, объект закупки предполагает выполнение работ по устройству катка с искусственным льдом, включающих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размещение технологического оборудования, инженерных систем и выполнение строительно-монтажных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Комиссией Управления установлено, что в приложении </w:t>
      </w:r>
      <w:r>
        <w:rPr>
          <w:rStyle w:val="CharStyle6"/>
          <w:lang w:val="en-US" w:eastAsia="en-US"/>
        </w:rPr>
        <w:t xml:space="preserve">№2 </w:t>
      </w:r>
      <w:r>
        <w:rPr>
          <w:rStyle w:val="CharStyle6"/>
        </w:rPr>
        <w:t>к Техническому заданию включены общие сведения о проектируемой территории: «</w:t>
      </w:r>
      <w:r>
        <w:rPr>
          <w:rStyle w:val="CharStyle6"/>
          <w:i/>
          <w:iCs/>
        </w:rPr>
        <w:t>Наименование объекта: Устройство катка с искусственным льдом; Вид объекта (элементы благоустройства территории): Каток с искусственным льдом; Перечень и объем работ: В соответствии со сметной документацией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Вместе с этим в приложении </w:t>
      </w:r>
      <w:r>
        <w:rPr>
          <w:rStyle w:val="CharStyle6"/>
          <w:lang w:val="en-US" w:eastAsia="en-US"/>
        </w:rPr>
        <w:t xml:space="preserve">№3 </w:t>
      </w:r>
      <w:r>
        <w:rPr>
          <w:rStyle w:val="CharStyle6"/>
        </w:rPr>
        <w:t>к Техническому заданию извещения отражено в частности следующее: «</w:t>
      </w:r>
      <w:r>
        <w:rPr>
          <w:rStyle w:val="CharStyle6"/>
          <w:i/>
          <w:iCs/>
        </w:rPr>
        <w:t>Проект организации строительства: Не требуется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 xml:space="preserve">Относительно указанного довода жалобы представитель Заказчика пояснил, что в рамках текущей закупки не предусмотрен проект организации строительства. Требования к составу проектной документации установлены Заказчиком в соответствии с п. </w:t>
      </w:r>
      <w:r>
        <w:rPr>
          <w:rStyle w:val="CharStyle6"/>
          <w:lang w:val="en-US" w:eastAsia="en-US"/>
        </w:rPr>
        <w:t xml:space="preserve">2.14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2.15 </w:t>
      </w:r>
      <w:r>
        <w:rPr>
          <w:rStyle w:val="CharStyle6"/>
        </w:rPr>
        <w:t>Порядка разработки, согласования и утверждения проектов благоустройства территории.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заседании Комиссии Управления представитель Заявителя не явился, а также в составе жалобы Заявителем не представлено документов и сведений, подтверждающих невозможность выполнения работ в виду отсутствия требования о разработке проекта организации строительства, а также сведений, свидетельствующих о нарушении Заказчиком норм Закона о контрактной системе при формировании извещения.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Иного на заседании Комиссии Управления не выявлено.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31" w:bottom="1128" w:left="1088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1.Признать жалобу ООО «ПФК Контур»» на действия ГБУ «Автомобильные дороги САО» обоснованной в части неправомерного формирования описания объекта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2.Признать в действиях Заказчика нарушение п.1 ч.1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rStyle w:val="CharStyle6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6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(трех) месяцев с даты его принятия в порядке, установленном гл. </w:t>
      </w:r>
      <w:r>
        <w:rPr>
          <w:rStyle w:val="CharStyle6"/>
          <w:lang w:val="en-US" w:eastAsia="en-US"/>
        </w:rPr>
        <w:t xml:space="preserve">24 </w:t>
      </w:r>
      <w:r>
        <w:rPr>
          <w:rStyle w:val="CharStyle6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41" w:bottom="124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2994660</wp:posOffset>
            </wp:positionH>
            <wp:positionV relativeFrom="paragraph">
              <wp:posOffset>196850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3455035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2.05000000000001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8.89999999999998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5911850</wp:posOffset>
                </wp:positionH>
                <wp:positionV relativeFrom="paragraph">
                  <wp:posOffset>127000</wp:posOffset>
                </wp:positionV>
                <wp:extent cx="130175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5pt;margin-top:10.pt;width:102.5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00EA3D636CED58A70F15417FA130B2F6C</w:t>
      </w:r>
      <w:r>
        <w:rPr>
          <w:rStyle w:val="CharStyle23"/>
          <w:lang w:val="en-US" w:eastAsia="en-US"/>
        </w:rPr>
        <w:t>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65656"/>
        </w:rPr>
        <w:t>20.04.2026 по 14.07.2027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6"/>
        </w:rPr>
        <w:t>Члены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2985135</wp:posOffset>
            </wp:positionH>
            <wp:positionV relativeFrom="paragraph">
              <wp:posOffset>50800</wp:posOffset>
            </wp:positionV>
            <wp:extent cx="36576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3454400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2.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8.89999999999998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М.В. Сорбучева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6EBF6CE6C27B6345D47DBCD40C7FA5FD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19.09.2025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13.12.2026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3025140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3415030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8.89999999999998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А.С. Гелмутдинова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ГЕЛМУТДИНОВА АНАСТАСИЯ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723501СС21703599976371</w:t>
      </w:r>
      <w:r>
        <w:rPr>
          <w:rStyle w:val="CharStyle23"/>
          <w:lang w:val="en-US" w:eastAsia="en-US"/>
        </w:rPr>
        <w:t>4F5C652689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40" w:line="266" w:lineRule="auto"/>
        <w:ind w:right="0" w:firstLine="0"/>
        <w:jc w:val="left"/>
      </w:pPr>
      <w:r>
        <w:rPr>
          <w:rStyle w:val="CharStyle23"/>
        </w:rPr>
        <w:t xml:space="preserve">Действителен с 09.02.2026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05.05.2027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30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2026-20803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94.70000000000005pt;width:56.89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2026-20803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2517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2026-20803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4.30000000000007pt;width:57.10000000000000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2026-20803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40.100000000000001pt;width:5.5pt;height:5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4">
    <w:name w:val="Body text (6)_"/>
    <w:basedOn w:val="DefaultParagraphFont"/>
    <w:link w:val="Style13"/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7">
    <w:name w:val="Heading #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 (3)"/>
    <w:basedOn w:val="Normal"/>
    <w:link w:val="CharStyle10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3">
    <w:name w:val="Body text (6)"/>
    <w:basedOn w:val="Normal"/>
    <w:link w:val="CharStyle14"/>
    <w:pPr>
      <w:widowControl w:val="0"/>
      <w:shd w:val="clear" w:color="auto" w:fill="auto"/>
      <w:jc w:val="right"/>
    </w:pPr>
    <w:rPr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