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51760" distL="1169035" distR="1129030" simplePos="0" relativeHeight="125829378" behindDoc="0" locked="0" layoutInCell="1" allowOverlap="1">
            <wp:simplePos x="0" y="0"/>
            <wp:positionH relativeFrom="page">
              <wp:posOffset>1777365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862965" distL="114300" distR="135255" simplePos="0" relativeHeight="125829379" behindDoc="0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728980</wp:posOffset>
                </wp:positionV>
                <wp:extent cx="2581910" cy="16852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685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Федеральной антимонопольной службы</w:t>
                              <w:br/>
                              <w:t>по Астраханской области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Шаумяна, 47, г. Астрахань, 414000, а/я 267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тел./факс (8512) 39-05-80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"mailto:to30@fas.gov.ru"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to30@fas.gov.ru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983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14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>29.04,2026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ab/>
                              <w:t>№ 2155/26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99999999999999pt;margin-top:57.399999999999999pt;width:203.30000000000001pt;height:132.69999999999999pt;z-index:-125829374;mso-wrap-distance-left:9.pt;mso-wrap-distance-top:56.399999999999999pt;mso-wrap-distance-right:10.65pt;mso-wrap-distance-bottom:67.9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Федеральной антимонопольной службы</w:t>
                        <w:br/>
                        <w:t>по Астраханской области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Шаумяна, 47, г. Астрахань, 414000, а/я 267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тел./факс (8512) 39-05-80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"mailto:to30@fas.gov.ru"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to30@fas.gov.ru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983" w:val="left"/>
                        </w:tabs>
                        <w:bidi w:val="0"/>
                        <w:spacing w:before="0" w:after="180" w:line="240" w:lineRule="auto"/>
                        <w:ind w:left="0" w:right="0" w:firstLine="14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>29.04,2026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ab/>
                        <w:t>№ 2155/26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4195" distB="0" distL="120650" distR="114300" simplePos="0" relativeHeight="125829381" behindDoc="0" locked="0" layoutInCell="1" allowOverlap="1">
            <wp:simplePos x="0" y="0"/>
            <wp:positionH relativeFrom="page">
              <wp:posOffset>728980</wp:posOffset>
            </wp:positionH>
            <wp:positionV relativeFrom="paragraph">
              <wp:posOffset>3096895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722630</wp:posOffset>
                </wp:positionH>
                <wp:positionV relativeFrom="paragraph">
                  <wp:posOffset>2661285</wp:posOffset>
                </wp:positionV>
                <wp:extent cx="2581910" cy="13716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1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11"/>
                                <w:rFonts w:ascii="Times New Roman" w:eastAsia="Times New Roman" w:hAnsi="Times New Roman" w:cs="Times New Roman"/>
                                <w:color w:val="476198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899999999999999pt;margin-top:209.55000000000001pt;width:203.30000000000001pt;height:10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1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11"/>
                          <w:rFonts w:ascii="Times New Roman" w:eastAsia="Times New Roman" w:hAnsi="Times New Roman" w:cs="Times New Roman"/>
                          <w:color w:val="476198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60"/>
        <w:jc w:val="left"/>
      </w:pPr>
      <w:r>
        <w:rPr>
          <w:rStyle w:val="CharStyle8"/>
        </w:rPr>
        <w:t>Государственное бюджетное учреждение здравоохранения Астраханской области «Александро- Мариинская областная клиническая больница»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60"/>
        <w:jc w:val="left"/>
      </w:pPr>
      <w:r>
        <w:rPr>
          <w:rStyle w:val="CharStyle8"/>
        </w:rPr>
        <w:t xml:space="preserve">414056, г. Астрахань, ул. Татищева, 2 </w:t>
      </w:r>
      <w:r>
        <w:fldChar w:fldCharType="begin"/>
      </w:r>
      <w:r>
        <w:rPr/>
        <w:instrText> HYPERLINK "mailto:amokb@astrobl.ru" </w:instrText>
      </w:r>
      <w:r>
        <w:fldChar w:fldCharType="separate"/>
      </w:r>
      <w:r>
        <w:rPr>
          <w:rStyle w:val="CharStyle8"/>
          <w:lang w:val="en-US" w:eastAsia="en-US"/>
        </w:rPr>
        <w:t>amokb@astrobl.ru</w:t>
      </w:r>
      <w:r>
        <w:fldChar w:fldCharType="end"/>
      </w:r>
      <w:r>
        <w:rPr>
          <w:rStyle w:val="CharStyle8"/>
          <w:lang w:val="en-US" w:eastAsia="en-US"/>
        </w:rPr>
        <w:t xml:space="preserve">; </w:t>
      </w:r>
      <w:r>
        <w:fldChar w:fldCharType="begin"/>
      </w:r>
      <w:r>
        <w:rPr/>
        <w:instrText> HYPERLINK "mailto:amokb_dog@mail.ru" </w:instrText>
      </w:r>
      <w:r>
        <w:fldChar w:fldCharType="separate"/>
      </w:r>
      <w:r>
        <w:rPr>
          <w:rStyle w:val="CharStyle8"/>
          <w:lang w:val="en-US" w:eastAsia="en-US"/>
        </w:rPr>
        <w:t>amokb_dog@mail.ru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rStyle w:val="CharStyle8"/>
        </w:rPr>
        <w:t>ООО «Статус»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rStyle w:val="CharStyle8"/>
        </w:rPr>
        <w:t>188692, Ленинградская область, г.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60"/>
        <w:jc w:val="left"/>
      </w:pPr>
      <w:r>
        <w:rPr>
          <w:rStyle w:val="CharStyle8"/>
        </w:rPr>
        <w:t xml:space="preserve">Кудрово, пер. Итальянский, д. 4, кв. 102 </w:t>
      </w:r>
      <w:r>
        <w:fldChar w:fldCharType="begin"/>
      </w:r>
      <w:r>
        <w:rPr/>
        <w:instrText> HYPERLINK "mailto:status-vlg@yandex.ru" </w:instrText>
      </w:r>
      <w:r>
        <w:fldChar w:fldCharType="separate"/>
      </w:r>
      <w:r>
        <w:rPr>
          <w:rStyle w:val="CharStyle8"/>
          <w:lang w:val="en-US" w:eastAsia="en-US"/>
        </w:rPr>
        <w:t>status-vlg@yandex.ru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20" w:right="0" w:firstLine="0"/>
        <w:jc w:val="left"/>
      </w:pPr>
      <w:r>
        <w:rPr>
          <w:rStyle w:val="CharStyle8"/>
        </w:rPr>
        <w:t>ЭТП Газпромбанк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5320" w:right="0" w:firstLine="0"/>
        <w:jc w:val="left"/>
      </w:pPr>
      <w:r>
        <w:rPr>
          <w:rStyle w:val="CharStyle8"/>
        </w:rPr>
        <w:t>191186, г. Санкт-Петербург, вн. тер. г. муниципальный округ Дворцовый округ, ул. Малая Конюшенная, д. 1-3, литера А, помещ. 19-Н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5320" w:right="0" w:firstLine="0"/>
        <w:jc w:val="left"/>
      </w:pPr>
      <w:r>
        <w:fldChar w:fldCharType="begin"/>
      </w:r>
      <w:r>
        <w:rPr/>
        <w:instrText> HYPERLINK "mailto:info@etpgpb.ru" </w:instrText>
      </w:r>
      <w:r>
        <w:fldChar w:fldCharType="separate"/>
      </w:r>
      <w:r>
        <w:rPr>
          <w:rStyle w:val="CharStyle8"/>
          <w:lang w:val="en-US" w:eastAsia="en-US"/>
        </w:rPr>
        <w:t>info@etpgpb.ru</w:t>
      </w:r>
      <w:r>
        <w:fldChar w:fldCharType="end"/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8"/>
          <w:b/>
          <w:bCs/>
        </w:rPr>
        <w:t>РЕШЕНИЕ № 030/06/105-419/2026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8"/>
          <w:b/>
          <w:bCs/>
        </w:rPr>
        <w:t>по делу о нарушении законодательства о контрактной системе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8630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rStyle w:val="CharStyle8"/>
          <w:b/>
          <w:bCs/>
        </w:rPr>
        <w:t>«27» апреля 2026 года</w:t>
        <w:tab/>
        <w:t>г. Астрахань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Комиссия по контролю в сфере закупок на территории Астраханской области, утвержденная приказом руководителя Астраханского УФАС России (далее – Комиссия),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  <w:b/>
          <w:bCs/>
        </w:rPr>
        <w:t>председателя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Русскиной И.В. – главного специалиста - эксперта отдела контроля в сфере закупок и антимонопольного контроля органов власти Управления Федеральной антимонопольной службы по Астраханской области (далее - Астраханское УФАС России, Управление);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8"/>
          <w:b/>
          <w:bCs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rStyle w:val="CharStyle8"/>
        </w:rPr>
        <w:t>Крупиной Е.М. – главного специалиста - эксперта отдела контроля в сфере закупок и антимонопольного контроля органов власти Управления,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740"/>
        <w:jc w:val="left"/>
      </w:pPr>
      <w:r>
        <w:rPr>
          <w:rStyle w:val="CharStyle8"/>
        </w:rPr>
        <w:t>Миляевой В.С. – ведущего специалиста-эксперта отдела контроля в сфере закупок и антимонопольного контроля органов власти Управления,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1"/>
        </w:rPr>
        <w:t>1IIIIIIIIIIIIIIIIIIIIIII</w:t>
      </w:r>
      <w:bookmarkEnd w:id="2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8"/>
        </w:rPr>
        <w:t xml:space="preserve">в присутствии представителя заявителя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директора Общества с ограниченной ответственностью «Статус» Тимофеевой В.П., в присутствии представителей государственного заказчика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Государственного бюджетного учреждения здравоохранения Астраханской области «Александро-Мариинская областная клиническая больница» Сериной Л.С. (доверенность) и Остроухова А.Н. (доверенность), рассмотрев жалобу Общества с ограниченной ответственностью «Статус» на действия комиссии по осуществлению закупок государственного заказчика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Государственного бюджетного учреждения здравоохранения Астраханской области «Александро-Мариинская областная клиническая больница» при проведении запроса котировок в электронной форме на право заключить контракт на поставку реагентов для бактериологической лаборатории (среды питательные готовые) (реестровый номер извещения </w:t>
      </w:r>
      <w:r>
        <w:rPr>
          <w:rStyle w:val="CharStyle8"/>
          <w:lang w:val="en-US" w:eastAsia="en-US"/>
        </w:rPr>
        <w:t xml:space="preserve">0325200000626000145), </w:t>
      </w:r>
      <w:r>
        <w:rPr>
          <w:rStyle w:val="CharStyle8"/>
        </w:rPr>
        <w:t xml:space="preserve">на основании ст. </w:t>
      </w:r>
      <w:r>
        <w:rPr>
          <w:rStyle w:val="CharStyle8"/>
          <w:lang w:val="en-US" w:eastAsia="en-US"/>
        </w:rPr>
        <w:t xml:space="preserve">99, 105, 106 </w:t>
      </w:r>
      <w:r>
        <w:rPr>
          <w:rStyle w:val="CharStyle8"/>
        </w:rPr>
        <w:t xml:space="preserve">Федерального закона от </w:t>
      </w:r>
      <w:r>
        <w:rPr>
          <w:rStyle w:val="CharStyle8"/>
          <w:lang w:val="en-US" w:eastAsia="en-US"/>
        </w:rPr>
        <w:t xml:space="preserve">05.04.2013 </w:t>
      </w:r>
      <w:r>
        <w:rPr>
          <w:rStyle w:val="CharStyle8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8"/>
          <w:lang w:val="en-US" w:eastAsia="en-US"/>
        </w:rPr>
        <w:t xml:space="preserve">— </w:t>
      </w:r>
      <w:r>
        <w:rPr>
          <w:rStyle w:val="CharStyle8"/>
        </w:rPr>
        <w:t>Закон о контрактной системе),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8"/>
          <w:b/>
          <w:bCs/>
        </w:rPr>
        <w:t>УСТАНОВИЛА: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В Астраханское УФАС России </w:t>
      </w:r>
      <w:r>
        <w:rPr>
          <w:rStyle w:val="CharStyle8"/>
          <w:lang w:val="en-US" w:eastAsia="en-US"/>
        </w:rPr>
        <w:t xml:space="preserve">21.04.2026 </w:t>
      </w:r>
      <w:r>
        <w:rPr>
          <w:rStyle w:val="CharStyle8"/>
        </w:rPr>
        <w:t xml:space="preserve">года поступила жалоба Общества с ограниченной ответственностью «Статус» (далее также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ООО «Статус», Заявитель) на действия комиссии по осуществлению закупок государственного заказчика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 xml:space="preserve">Государственного бюджетного учреждения здравоохранения Астраханской области «Александро-Мариинская областная клиническая больница» (далее также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ГБУЗ АО «АМОКБ», Заказчик) при проведении запроса котировок в электронной форме на право заключить контракт на поставку реагентов для бактериологической лаборатории (среды питательные готовые) (реестровый номер извещения </w:t>
      </w:r>
      <w:r>
        <w:rPr>
          <w:rStyle w:val="CharStyle8"/>
          <w:lang w:val="en-US" w:eastAsia="en-US"/>
        </w:rPr>
        <w:t xml:space="preserve">0325200000626000145) </w:t>
      </w:r>
      <w:r>
        <w:rPr>
          <w:rStyle w:val="CharStyle8"/>
        </w:rPr>
        <w:t xml:space="preserve">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запрос котировок).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По мнению Заявителя, комиссией по осуществлению закупок Заказчика нарушены требования законодательства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На основании вышеизложенного Заявитель просит рассмотреть жалобу по существу и принять меры в соответствии с действующим законодательством Российской Федерации.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Рассмотрение жалобы назначено Управлением на </w:t>
      </w:r>
      <w:r>
        <w:rPr>
          <w:rStyle w:val="CharStyle8"/>
          <w:lang w:val="en-US" w:eastAsia="en-US"/>
        </w:rPr>
        <w:t xml:space="preserve">24.04.2026 </w:t>
      </w:r>
      <w:r>
        <w:rPr>
          <w:rStyle w:val="CharStyle8"/>
        </w:rPr>
        <w:t xml:space="preserve">года в </w:t>
      </w:r>
      <w:r>
        <w:rPr>
          <w:rStyle w:val="CharStyle8"/>
          <w:lang w:val="en-US" w:eastAsia="en-US"/>
        </w:rPr>
        <w:t xml:space="preserve">14 </w:t>
      </w:r>
      <w:r>
        <w:rPr>
          <w:rStyle w:val="CharStyle8"/>
        </w:rPr>
        <w:t xml:space="preserve">часов </w:t>
      </w:r>
      <w:r>
        <w:rPr>
          <w:rStyle w:val="CharStyle8"/>
          <w:lang w:val="en-US" w:eastAsia="en-US"/>
        </w:rPr>
        <w:t xml:space="preserve">00 </w:t>
      </w:r>
      <w:r>
        <w:rPr>
          <w:rStyle w:val="CharStyle8"/>
        </w:rPr>
        <w:t xml:space="preserve">минут по местному времени контролирующего органа по адресу: </w:t>
      </w:r>
      <w:r>
        <w:rPr>
          <w:rStyle w:val="CharStyle8"/>
          <w:lang w:val="en-US" w:eastAsia="en-US"/>
        </w:rPr>
        <w:t xml:space="preserve">414000, </w:t>
      </w:r>
      <w:r>
        <w:rPr>
          <w:rStyle w:val="CharStyle8"/>
        </w:rPr>
        <w:t xml:space="preserve">г. Астрахань, ул. Шаумяна, </w:t>
      </w:r>
      <w:r>
        <w:rPr>
          <w:rStyle w:val="CharStyle8"/>
          <w:lang w:val="en-US" w:eastAsia="en-US"/>
        </w:rPr>
        <w:t xml:space="preserve">47, </w:t>
      </w:r>
      <w:r>
        <w:rPr>
          <w:rStyle w:val="CharStyle8"/>
        </w:rPr>
        <w:t xml:space="preserve">каб. </w:t>
      </w:r>
      <w:r>
        <w:rPr>
          <w:rStyle w:val="CharStyle8"/>
          <w:lang w:val="en-US" w:eastAsia="en-US"/>
        </w:rPr>
        <w:t>505.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Представители Заявителя и Заказчика приняли участие в рассмотрении жалобы посредством интернет-видеоконференции с использованием системы ВКС </w:t>
      </w:r>
      <w:r>
        <w:rPr>
          <w:rStyle w:val="CharStyle8"/>
          <w:lang w:val="en-US" w:eastAsia="en-US"/>
        </w:rPr>
        <w:t>(TrueConf).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В указанное время жалобу рассматривала Комиссия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председателя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 xml:space="preserve">Теосевой Е.И.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главного специалиста-эксперта отдела контроля в сфере закупок и антимонопольного контроля органов власти Управления;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8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8"/>
        </w:rPr>
        <w:t xml:space="preserve">Крупиной Е.М.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главного специалиста-эксперта отдела контроля в сфере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закупок и антимонопольного контроля органов власти Управления,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Миляевой В.С.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ведущего специалиста-эксперта отдела контроля в сфере закупок и антимонопольного контроля органов власти Управления.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Комиссия объявляла перерыв в рассмотрении жалобы до </w:t>
      </w:r>
      <w:r>
        <w:rPr>
          <w:rStyle w:val="CharStyle8"/>
          <w:lang w:val="en-US" w:eastAsia="en-US"/>
        </w:rPr>
        <w:t xml:space="preserve">15 </w:t>
      </w:r>
      <w:r>
        <w:rPr>
          <w:rStyle w:val="CharStyle8"/>
        </w:rPr>
        <w:t xml:space="preserve">часов </w:t>
      </w:r>
      <w:r>
        <w:rPr>
          <w:rStyle w:val="CharStyle8"/>
          <w:lang w:val="en-US" w:eastAsia="en-US"/>
        </w:rPr>
        <w:t xml:space="preserve">00 </w:t>
      </w:r>
      <w:r>
        <w:rPr>
          <w:rStyle w:val="CharStyle8"/>
        </w:rPr>
        <w:t xml:space="preserve">минут </w:t>
      </w:r>
      <w:r>
        <w:rPr>
          <w:rStyle w:val="CharStyle8"/>
          <w:lang w:val="en-US" w:eastAsia="en-US"/>
        </w:rPr>
        <w:t xml:space="preserve">27.04.2026 </w:t>
      </w:r>
      <w:r>
        <w:rPr>
          <w:rStyle w:val="CharStyle8"/>
        </w:rPr>
        <w:t>года по местному времени контролирующего органа.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Представители Заявителя и Заказчика также приняли участие в рассмотрении жалобы посредством интернет-видеоконференции с использованием системы ВКС </w:t>
      </w:r>
      <w:r>
        <w:rPr>
          <w:rStyle w:val="CharStyle8"/>
          <w:lang w:val="en-US" w:eastAsia="en-US"/>
        </w:rPr>
        <w:t>(TrueConf).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После перерыва жалобу рассматривала Комиссия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председателя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Русскиной И.В.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главного специалиста-эксперта отдела контроля в сфере закупок и антимонопольного контроля органов власти Управления;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членов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Крупиной Е.М.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главного специалиста-эксперта отдела контроля в сфере закупок и антимонопольного контроля органов власти Управления,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Миляевой В.С. </w:t>
      </w:r>
      <w:r>
        <w:rPr>
          <w:rStyle w:val="CharStyle8"/>
          <w:lang w:val="en-US" w:eastAsia="en-US"/>
        </w:rPr>
        <w:t xml:space="preserve">- </w:t>
      </w:r>
      <w:r>
        <w:rPr>
          <w:rStyle w:val="CharStyle8"/>
        </w:rPr>
        <w:t>ведущего специалиста-эксперта отдела контроля в сфере закупок и антимонопольного контроля органов власти Управления.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8"/>
        </w:rPr>
        <w:t>По результатам рассмотрения жалобы и проведения внеплановой проверки установлено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  <w:lang w:val="en-US" w:eastAsia="en-US"/>
        </w:rPr>
        <w:t xml:space="preserve">09.04.2026 </w:t>
      </w:r>
      <w:r>
        <w:rPr>
          <w:rStyle w:val="CharStyle8"/>
        </w:rPr>
        <w:t xml:space="preserve">года Заказчиком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8"/>
          <w:lang w:val="en-US" w:eastAsia="en-US"/>
        </w:rPr>
        <w:t>www.zakupki.gov.ru</w:t>
      </w:r>
      <w:r>
        <w:fldChar w:fldCharType="end"/>
      </w:r>
      <w:r>
        <w:rPr>
          <w:rStyle w:val="CharStyle8"/>
          <w:lang w:val="en-US" w:eastAsia="en-US"/>
        </w:rPr>
        <w:t xml:space="preserve"> </w:t>
      </w:r>
      <w:r>
        <w:rPr>
          <w:rStyle w:val="CharStyle8"/>
        </w:rPr>
        <w:t xml:space="preserve">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 xml:space="preserve">официальный сайт, ЕИС) размещено извещение о проведении запроса котировок в электронной форме на право заключить контракт на поставку реагентов для бактериологической лаборатории (среды питательные готовые) (реестровый номер извещения </w:t>
      </w:r>
      <w:r>
        <w:rPr>
          <w:rStyle w:val="CharStyle8"/>
          <w:lang w:val="en-US" w:eastAsia="en-US"/>
        </w:rPr>
        <w:t xml:space="preserve">0325200000626000145) </w:t>
      </w:r>
      <w:r>
        <w:rPr>
          <w:rStyle w:val="CharStyle8"/>
        </w:rPr>
        <w:t xml:space="preserve">(далее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извещение).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rStyle w:val="CharStyle8"/>
        </w:rPr>
        <w:t xml:space="preserve">Начальная (максимальная) цена контракта составила </w:t>
      </w:r>
      <w:r>
        <w:rPr>
          <w:rStyle w:val="CharStyle8"/>
          <w:lang w:val="en-US" w:eastAsia="en-US"/>
        </w:rPr>
        <w:t xml:space="preserve">1 497 659,23 </w:t>
      </w:r>
      <w:r>
        <w:rPr>
          <w:rStyle w:val="CharStyle8"/>
        </w:rPr>
        <w:t>рублей.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>Согласно жалобе Заявителя, комиссия по осуществлению закупок Заказчика незаконно отклонила его заявку на участие в запросе котировок за предоставление недостоверной информации.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>Жалоба является обоснованной по следующим основаниям.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 xml:space="preserve">Согласно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 </w:t>
      </w:r>
      <w:r>
        <w:rPr>
          <w:rStyle w:val="CharStyle8"/>
        </w:rPr>
        <w:t>Закона о контрактной системе,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rStyle w:val="CharStyle8"/>
        </w:rPr>
        <w:t xml:space="preserve">Пунктами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и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42 </w:t>
      </w:r>
      <w:r>
        <w:rPr>
          <w:rStyle w:val="CharStyle8"/>
        </w:rPr>
        <w:t xml:space="preserve">Закона о контрактной системе регламентировано,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настоящего Федерального закона и требования к содержанию, составу заявки на участие в закупке в соответствии с настоящим Федеральным законом и инструкцию по ее заполнению. При этом не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допускается установление требований, влекущих за собой ограничение количества участников закупки.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 xml:space="preserve">В силу подпункта «а» пункта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43 </w:t>
      </w:r>
      <w:r>
        <w:rPr>
          <w:rStyle w:val="CharStyle8"/>
        </w:rPr>
        <w:t xml:space="preserve">Закона о контрактной системе для участия в конкурентном способе заявка на участие в закупке, если иное не предусмотрено настоящим Федеральным законом, должна содержать предложение участника закупки в отношении объекта закупки с учетом положений 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настоящей статьи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настоящего Федерального закона, товарный знак (при наличии у товара товарного знака).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 xml:space="preserve">В соответствии требованиям пункта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43 </w:t>
      </w:r>
      <w:r>
        <w:rPr>
          <w:rStyle w:val="CharStyle8"/>
        </w:rPr>
        <w:t xml:space="preserve">Закона о контрактной системе при формировании предложения участника закупки в отношении объекта закупки информация о товаре, предусмотренная подпунктами «а» и «б» пункта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настоящей статьи, включается в заявку на участие в закупке в случае осуществления закупки товара, в том числе поставляемого заказчику при выполнении закупаемых работ, оказании закупаемых услуг. Информация, предусмотренная подпунктом «а» пункта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>настоящей статьи,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>Аналогичные требования установлены Заказчиком в файле «Требования к содержанию и составу заявки на участие в запросе котировок» извещения.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8"/>
          <w:lang w:val="en-US" w:eastAsia="en-US"/>
        </w:rPr>
        <w:t xml:space="preserve">17.04.2026 </w:t>
      </w:r>
      <w:r>
        <w:rPr>
          <w:rStyle w:val="CharStyle8"/>
        </w:rPr>
        <w:t xml:space="preserve">№ИЗК1, на участие в запросе котировок подано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>заявки.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 xml:space="preserve">Заявка под идентификационным номером </w:t>
      </w:r>
      <w:r>
        <w:rPr>
          <w:rStyle w:val="CharStyle8"/>
          <w:lang w:val="en-US" w:eastAsia="en-US"/>
        </w:rPr>
        <w:t xml:space="preserve">31 </w:t>
      </w:r>
      <w:r>
        <w:rPr>
          <w:rStyle w:val="CharStyle8"/>
        </w:rPr>
        <w:t xml:space="preserve">признана комиссией по осуществлению закупок Заказчика соответствующей требованиям извещения, а заявки с идентификационными номерами </w:t>
      </w:r>
      <w:r>
        <w:rPr>
          <w:rStyle w:val="CharStyle8"/>
          <w:lang w:val="en-US" w:eastAsia="en-US"/>
        </w:rPr>
        <w:t xml:space="preserve">30 </w:t>
      </w:r>
      <w:r>
        <w:rPr>
          <w:rStyle w:val="CharStyle8"/>
        </w:rPr>
        <w:t xml:space="preserve">(заявка Заявителя) и </w:t>
      </w:r>
      <w:r>
        <w:rPr>
          <w:rStyle w:val="CharStyle8"/>
          <w:lang w:val="en-US" w:eastAsia="en-US"/>
        </w:rPr>
        <w:t xml:space="preserve">32 </w:t>
      </w:r>
      <w:r>
        <w:rPr>
          <w:rStyle w:val="CharStyle8"/>
        </w:rPr>
        <w:t xml:space="preserve">отклонены от участия в закупке на основании пункта </w:t>
      </w:r>
      <w:r>
        <w:rPr>
          <w:rStyle w:val="CharStyle8"/>
          <w:lang w:val="en-US" w:eastAsia="en-US"/>
        </w:rPr>
        <w:t xml:space="preserve">8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48 </w:t>
      </w:r>
      <w:r>
        <w:rPr>
          <w:rStyle w:val="CharStyle8"/>
        </w:rPr>
        <w:t>Закона о контрактной системе.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 xml:space="preserve">Так, в протоколе подведения итогов определения поставщика (подрядчика, исполнителя) от </w:t>
      </w:r>
      <w:r>
        <w:rPr>
          <w:rStyle w:val="CharStyle8"/>
          <w:lang w:val="en-US" w:eastAsia="en-US"/>
        </w:rPr>
        <w:t xml:space="preserve">17.04.2026 </w:t>
      </w:r>
      <w:r>
        <w:rPr>
          <w:rStyle w:val="CharStyle8"/>
        </w:rPr>
        <w:t>№ИЗК1 указано следующее обоснование отклонения заявки Заявителя: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  <w:i/>
          <w:iCs/>
        </w:rPr>
        <w:t xml:space="preserve">«Участником закупки к поставке предложены по позиции </w:t>
      </w:r>
      <w:r>
        <w:rPr>
          <w:rStyle w:val="CharStyle8"/>
          <w:i/>
          <w:iCs/>
          <w:lang w:val="en-US" w:eastAsia="en-US"/>
        </w:rPr>
        <w:t xml:space="preserve">2 </w:t>
      </w:r>
      <w:r>
        <w:rPr>
          <w:rStyle w:val="CharStyle8"/>
          <w:i/>
          <w:iCs/>
        </w:rPr>
        <w:t xml:space="preserve">ХайХром агар для обнаружения и подсчета уропатогенных бактерий РУ ФСЗ </w:t>
      </w:r>
      <w:r>
        <w:rPr>
          <w:rStyle w:val="CharStyle8"/>
          <w:i/>
          <w:iCs/>
          <w:lang w:val="en-US" w:eastAsia="en-US"/>
        </w:rPr>
        <w:t xml:space="preserve">2009/03705 </w:t>
      </w:r>
      <w:r>
        <w:rPr>
          <w:rStyle w:val="CharStyle8"/>
          <w:i/>
          <w:iCs/>
        </w:rPr>
        <w:t xml:space="preserve">на официальном сайте производителя нет среды с указанным составом </w:t>
      </w:r>
      <w:r>
        <w:fldChar w:fldCharType="begin"/>
      </w:r>
      <w:r>
        <w:rPr/>
        <w:instrText> HYPERLINK "https://www.himedialabs.com/us/catalogsearch/result/?category_ids=&amp;q=M1353%c2%bb" </w:instrText>
      </w:r>
      <w:r>
        <w:fldChar w:fldCharType="separate"/>
      </w:r>
      <w:r>
        <w:rPr>
          <w:rStyle w:val="CharStyle8"/>
          <w:i/>
          <w:iCs/>
          <w:lang w:val="en-US" w:eastAsia="en-US"/>
        </w:rPr>
        <w:t>https://www.himedialabs.com/us/catalogsearch/result/?category_ids=&amp;q=M1353»</w:t>
      </w:r>
      <w:r>
        <w:fldChar w:fldCharType="end"/>
      </w:r>
      <w:r>
        <w:rPr>
          <w:rStyle w:val="CharStyle8"/>
          <w:i/>
          <w:iCs/>
          <w:lang w:val="en-US" w:eastAsia="en-US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>В то же время, Комиссией Управления установлено следующее.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 xml:space="preserve">Согласно пункту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 xml:space="preserve">Из части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33 </w:t>
      </w:r>
      <w:r>
        <w:rPr>
          <w:rStyle w:val="CharStyle8"/>
        </w:rPr>
        <w:t xml:space="preserve">Закона о контрактной системе следует, что описание объекта закупки в соответствии с требованиями, указанными в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>настоящей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>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20"/>
        <w:jc w:val="both"/>
      </w:pPr>
      <w:r>
        <w:rPr>
          <w:rStyle w:val="CharStyle8"/>
        </w:rPr>
        <w:t>Объектом закупки является поставка реагентов для бактериологической лаборатории (среды питательные готовые), в том числе поставка питательной среды со следующими характеристиками: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0"/>
        <w:jc w:val="left"/>
      </w:pPr>
      <w:r>
        <w:rPr>
          <w:rStyle w:val="CharStyle24"/>
        </w:rPr>
        <w:t>«…</w:t>
      </w:r>
    </w:p>
    <w:tbl>
      <w:tblPr>
        <w:tblOverlap w:val="never"/>
        <w:jc w:val="center"/>
        <w:tblLayout w:type="fixed"/>
      </w:tblPr>
      <w:tblGrid>
        <w:gridCol w:w="518"/>
        <w:gridCol w:w="2256"/>
        <w:gridCol w:w="619"/>
        <w:gridCol w:w="1550"/>
        <w:gridCol w:w="1747"/>
        <w:gridCol w:w="2400"/>
        <w:gridCol w:w="922"/>
      </w:tblGrid>
      <w:tr>
        <w:trPr>
          <w:trHeight w:val="653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  <w:b/>
                <w:bCs/>
                <w:lang w:val="en-US" w:eastAsia="en-US"/>
              </w:rPr>
              <w:t xml:space="preserve">2. </w:t>
            </w:r>
            <w:r>
              <w:rPr>
                <w:rStyle w:val="CharStyle26"/>
                <w:b/>
                <w:bCs/>
              </w:rPr>
              <w:t xml:space="preserve">Агар хромогенный для уропатогенных бактерий </w:t>
            </w:r>
            <w:r>
              <w:rPr>
                <w:rStyle w:val="CharStyle26"/>
                <w:b/>
                <w:bCs/>
                <w:lang w:val="en-US" w:eastAsia="en-US"/>
              </w:rPr>
              <w:t>(Urinary Tract Infections Chromogenic Agar (UTIC)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27" w:hRule="exact"/>
        </w:trPr>
        <w:tc>
          <w:tcPr>
            <w:gridSpan w:val="6"/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  <w:b/>
                <w:bCs/>
              </w:rPr>
              <w:t xml:space="preserve">ОКПД2: </w:t>
            </w:r>
            <w:r>
              <w:rPr>
                <w:rStyle w:val="CharStyle26"/>
                <w:b/>
                <w:bCs/>
                <w:lang w:val="en-US" w:eastAsia="en-US"/>
              </w:rPr>
              <w:t xml:space="preserve">20.59.52.140 </w:t>
            </w:r>
            <w:r>
              <w:rPr>
                <w:rStyle w:val="CharStyle26"/>
                <w:b/>
                <w:bCs/>
              </w:rPr>
              <w:t>Среды готовые питательные для выращивания микроорганизмов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Среда предназначена для предварительного обнаружения и дифференциации микроорганизмов, вызывающих инфекции мочевых путей.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  <w:b/>
                <w:bCs/>
              </w:rPr>
              <w:t>25шт</w:t>
            </w:r>
          </w:p>
        </w:tc>
      </w:tr>
      <w:tr>
        <w:trPr>
          <w:trHeight w:val="161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6"/>
                <w:lang w:val="en-US" w:eastAsia="en-US"/>
              </w:rPr>
              <w:t>1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Масса питательной среды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г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  <w:lang w:val="en-US" w:eastAsia="en-US"/>
              </w:rPr>
              <w:t>≥500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9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6"/>
                <w:lang w:val="en-US" w:eastAsia="en-US"/>
              </w:rPr>
              <w:t>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Форма выпуска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Порошок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1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6"/>
                <w:lang w:val="en-US" w:eastAsia="en-US"/>
              </w:rPr>
              <w:t>3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Пептоновая смесь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Style w:val="CharStyle26"/>
              </w:rPr>
              <w:t>г/л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  <w:lang w:val="en-US" w:eastAsia="en-US"/>
              </w:rPr>
              <w:t>≥16,0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6"/>
                <w:lang w:val="en-US" w:eastAsia="en-US"/>
              </w:rPr>
              <w:t>4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Факторы роста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Style w:val="CharStyle26"/>
              </w:rPr>
              <w:t>г/л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  <w:lang w:val="en-US" w:eastAsia="en-US"/>
              </w:rPr>
              <w:t>≥13,0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18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6"/>
                <w:lang w:val="en-US" w:eastAsia="en-US"/>
              </w:rPr>
              <w:t>5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Триптофан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Style w:val="CharStyle26"/>
              </w:rPr>
              <w:t>г/л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  <w:lang w:val="en-US" w:eastAsia="en-US"/>
              </w:rPr>
              <w:t>≥2,0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989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6"/>
                <w:lang w:val="en-US" w:eastAsia="en-US"/>
              </w:rPr>
              <w:t>6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Хромогенный субстрат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Style w:val="CharStyle26"/>
              </w:rPr>
              <w:t>г/л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  <w:lang w:val="en-US" w:eastAsia="en-US"/>
              </w:rPr>
              <w:t>≤0,5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Участник закупки указывает в заявке конкретное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8"/>
        <w:gridCol w:w="2256"/>
        <w:gridCol w:w="619"/>
        <w:gridCol w:w="1550"/>
        <w:gridCol w:w="1747"/>
        <w:gridCol w:w="2400"/>
        <w:gridCol w:w="922"/>
      </w:tblGrid>
      <w:tr>
        <w:trPr>
          <w:trHeight w:val="66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1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6"/>
                <w:lang w:val="en-US" w:eastAsia="en-US"/>
              </w:rPr>
              <w:t>7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Бактериологичес кий агар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rStyle w:val="CharStyle26"/>
              </w:rPr>
              <w:t>г/л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  <w:lang w:val="en-US" w:eastAsia="en-US"/>
              </w:rPr>
              <w:t>≥16,0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54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center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rStyle w:val="CharStyle26"/>
                <w:lang w:val="en-US" w:eastAsia="en-US"/>
              </w:rPr>
              <w:t>8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 xml:space="preserve">произведено по стандартам качества </w:t>
            </w:r>
            <w:r>
              <w:rPr>
                <w:rStyle w:val="CharStyle26"/>
                <w:lang w:val="en-US" w:eastAsia="en-US"/>
              </w:rPr>
              <w:t>ISO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26"/>
                <w:lang w:val="en-US" w:eastAsia="en-US"/>
              </w:rPr>
              <w:t xml:space="preserve">13485 </w:t>
            </w:r>
            <w:r>
              <w:rPr>
                <w:rStyle w:val="CharStyle26"/>
              </w:rPr>
              <w:t xml:space="preserve">и </w:t>
            </w:r>
            <w:r>
              <w:rPr>
                <w:rStyle w:val="CharStyle26"/>
                <w:lang w:val="en-US" w:eastAsia="en-US"/>
              </w:rPr>
              <w:t>ISO 9001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Соответст вие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Style w:val="CharStyle26"/>
              </w:rPr>
              <w:t>Значение характеристики не может изменяться участником закупки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  <w:lang w:val="en-US" w:eastAsia="en-US"/>
        </w:rPr>
        <w:t>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Комиссией Управления установлено, что в соответствии с заявкой Заявителя предлагаемый им питательный состав имеет требуемые Заказчиком характеристики, в том числе массу питательной среды </w:t>
      </w:r>
      <w:r>
        <w:rPr>
          <w:rStyle w:val="CharStyle8"/>
          <w:lang w:val="en-US" w:eastAsia="en-US"/>
        </w:rPr>
        <w:t xml:space="preserve">500 </w:t>
      </w:r>
      <w:r>
        <w:rPr>
          <w:rStyle w:val="CharStyle8"/>
        </w:rPr>
        <w:t xml:space="preserve">г, а также содержит триптофан </w:t>
      </w:r>
      <w:r>
        <w:rPr>
          <w:rStyle w:val="CharStyle8"/>
          <w:lang w:val="en-US" w:eastAsia="en-US"/>
        </w:rPr>
        <w:t xml:space="preserve">2,0 </w:t>
      </w:r>
      <w:r>
        <w:rPr>
          <w:rStyle w:val="CharStyle8"/>
        </w:rPr>
        <w:t xml:space="preserve">г/л, смесь пептонов </w:t>
      </w:r>
      <w:r>
        <w:rPr>
          <w:rStyle w:val="CharStyle8"/>
          <w:lang w:val="en-US" w:eastAsia="en-US"/>
        </w:rPr>
        <w:t xml:space="preserve">16,0 </w:t>
      </w:r>
      <w:r>
        <w:rPr>
          <w:rStyle w:val="CharStyle8"/>
        </w:rPr>
        <w:t xml:space="preserve">г/л, хромогенный субстрат </w:t>
      </w:r>
      <w:r>
        <w:rPr>
          <w:rStyle w:val="CharStyle8"/>
          <w:lang w:val="en-US" w:eastAsia="en-US"/>
        </w:rPr>
        <w:t xml:space="preserve">0,5 </w:t>
      </w:r>
      <w:r>
        <w:rPr>
          <w:rStyle w:val="CharStyle8"/>
        </w:rPr>
        <w:t xml:space="preserve">г/л, факторы роста </w:t>
      </w:r>
      <w:r>
        <w:rPr>
          <w:rStyle w:val="CharStyle8"/>
          <w:lang w:val="en-US" w:eastAsia="en-US"/>
        </w:rPr>
        <w:t xml:space="preserve">13,0 </w:t>
      </w:r>
      <w:r>
        <w:rPr>
          <w:rStyle w:val="CharStyle8"/>
        </w:rPr>
        <w:t xml:space="preserve">г/л и агар бактериологический </w:t>
      </w:r>
      <w:r>
        <w:rPr>
          <w:rStyle w:val="CharStyle8"/>
          <w:lang w:val="en-US" w:eastAsia="en-US"/>
        </w:rPr>
        <w:t xml:space="preserve">16,0 </w:t>
      </w:r>
      <w:r>
        <w:rPr>
          <w:rStyle w:val="CharStyle8"/>
        </w:rPr>
        <w:t>г/л.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При этом, по мнению Заявителя, предложенный им товар «Набор реагентов питательные среды дифференциально-диагностические» (п. </w:t>
      </w:r>
      <w:r>
        <w:rPr>
          <w:rStyle w:val="CharStyle8"/>
          <w:lang w:val="en-US" w:eastAsia="en-US"/>
        </w:rPr>
        <w:t xml:space="preserve">127 </w:t>
      </w:r>
      <w:r>
        <w:rPr>
          <w:rStyle w:val="CharStyle8"/>
        </w:rPr>
        <w:t xml:space="preserve">ХайХром агар для обнаружения и подсчета уропатогенных бактерий; ХайХром агар для обнаружения и подсчета уропатогенных бактерий, модифицированный </w:t>
      </w:r>
      <w:r>
        <w:rPr>
          <w:rStyle w:val="CharStyle8"/>
          <w:lang w:val="en-US" w:eastAsia="en-US"/>
        </w:rPr>
        <w:t xml:space="preserve">(HiCrome UTI Agar; HiCrome UTI Agar, Modified)) </w:t>
      </w:r>
      <w:r>
        <w:rPr>
          <w:rStyle w:val="CharStyle8"/>
        </w:rPr>
        <w:t xml:space="preserve">производства компании «ХайМедия Лабораториз Пвт. Лтд.», Индия (регистрационное удостоверение №ФСЗ </w:t>
      </w:r>
      <w:r>
        <w:rPr>
          <w:rStyle w:val="CharStyle8"/>
          <w:lang w:val="en-US" w:eastAsia="en-US"/>
        </w:rPr>
        <w:t xml:space="preserve">2009/03705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 xml:space="preserve">21.12.2012 </w:t>
      </w:r>
      <w:r>
        <w:rPr>
          <w:rStyle w:val="CharStyle8"/>
        </w:rPr>
        <w:t xml:space="preserve">года) полностью соответствует позиции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>описания объекта закупки Заказчика.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Согласно письму ФАС России от </w:t>
      </w:r>
      <w:r>
        <w:rPr>
          <w:rStyle w:val="CharStyle8"/>
          <w:lang w:val="en-US" w:eastAsia="en-US"/>
        </w:rPr>
        <w:t xml:space="preserve">26.05.2025 </w:t>
      </w:r>
      <w:r>
        <w:rPr>
          <w:rStyle w:val="CharStyle8"/>
        </w:rPr>
        <w:t xml:space="preserve">года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>ГР/48883/25, в случае отсутствия отдельных характеристик закупаемого медицинского изделия в эксплуатационной документации, размещенной на сайте Росздравнадзора, подтверждением соответствия таких характеристик описанию объекта закупки могут являться инструкции и документы на медицинское изделие, полученные любым иным способом, актуальность и достоверность которых могут быть перепроверены в том числе при исполнении контрольных функций.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качестве подтверждения соответствия товара требованиям извещения Заявителем представлено Комиссии Управления письмо производителя от </w:t>
      </w:r>
      <w:r>
        <w:rPr>
          <w:rStyle w:val="CharStyle8"/>
          <w:lang w:val="en-US" w:eastAsia="en-US"/>
        </w:rPr>
        <w:t xml:space="preserve">20.04.2026 </w:t>
      </w:r>
      <w:r>
        <w:rPr>
          <w:rStyle w:val="CharStyle8"/>
        </w:rPr>
        <w:t xml:space="preserve">года </w:t>
      </w:r>
      <w:r>
        <w:rPr>
          <w:rStyle w:val="CharStyle8"/>
          <w:lang w:val="en-US" w:eastAsia="en-US"/>
        </w:rPr>
        <w:t>№2026/0011.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Согласно вышеуказанному письму, продукция ХайХром агар для обнаружения и подсчета уропатогенных бактерий </w:t>
      </w:r>
      <w:r>
        <w:rPr>
          <w:rStyle w:val="CharStyle8"/>
          <w:lang w:val="en-US" w:eastAsia="en-US"/>
        </w:rPr>
        <w:t xml:space="preserve">M1353RC </w:t>
      </w:r>
      <w:r>
        <w:rPr>
          <w:rStyle w:val="CharStyle8"/>
        </w:rPr>
        <w:t>имеет состав, тождественный составу, указанному в предложении Заявителя.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то же время, в соответствии с пояснениями Заказчика информация о среде с идентификатором </w:t>
      </w:r>
      <w:r>
        <w:rPr>
          <w:rStyle w:val="CharStyle8"/>
          <w:lang w:val="en-US" w:eastAsia="en-US"/>
        </w:rPr>
        <w:t xml:space="preserve">M1353RC </w:t>
      </w:r>
      <w:r>
        <w:rPr>
          <w:rStyle w:val="CharStyle8"/>
        </w:rPr>
        <w:t xml:space="preserve">отсутствует на официальном сайте производителя </w:t>
      </w:r>
      <w:r>
        <w:fldChar w:fldCharType="begin"/>
      </w:r>
      <w:r>
        <w:rPr/>
        <w:instrText> HYPERLINK "https://www.himedialabs.com" </w:instrText>
      </w:r>
      <w:r>
        <w:fldChar w:fldCharType="separate"/>
      </w:r>
      <w:r>
        <w:rPr>
          <w:rStyle w:val="CharStyle8"/>
          <w:lang w:val="en-US" w:eastAsia="en-US"/>
        </w:rPr>
        <w:t>https://www.himedialabs.com</w:t>
      </w:r>
      <w:r>
        <w:fldChar w:fldCharType="end"/>
      </w:r>
      <w:r>
        <w:rPr>
          <w:rStyle w:val="CharStyle8"/>
          <w:lang w:val="en-US" w:eastAsia="en-US"/>
        </w:rPr>
        <w:t>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При этом, Комиссия Управления установила, что информация о наличии среды с оспариваемым составом указанна на официальном сайте представителя компании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 xml:space="preserve">«ХайМедия Лабораториз Пвт. Лтд.» и держателя регистрационного удостоверения на товар </w:t>
      </w:r>
      <w:r>
        <w:rPr>
          <w:rStyle w:val="CharStyle8"/>
          <w:lang w:val="en-US" w:eastAsia="en-US"/>
        </w:rPr>
        <w:t xml:space="preserve">– </w:t>
      </w:r>
      <w:r>
        <w:rPr>
          <w:rStyle w:val="CharStyle8"/>
        </w:rPr>
        <w:t>ООО «Фарма Групп».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Таким образом, Комиссия Управления пришла к выводу, что Заказчиком не представлено доказательств указания Заявителем в составе его заявки недостоверной информации, а, следовательно, доказательств несоответствия такой заявки требованиям извещения.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Согласно подпункту «а» пункта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50 </w:t>
      </w:r>
      <w:r>
        <w:rPr>
          <w:rStyle w:val="CharStyle8"/>
        </w:rPr>
        <w:t xml:space="preserve">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частью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8"/>
          <w:lang w:val="en-US" w:eastAsia="en-US"/>
        </w:rPr>
        <w:t xml:space="preserve">1 - 8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12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48 </w:t>
      </w:r>
      <w:r>
        <w:rPr>
          <w:rStyle w:val="CharStyle8"/>
        </w:rPr>
        <w:t>настоящего Федерального закона.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В силу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27 </w:t>
      </w:r>
      <w:r>
        <w:rPr>
          <w:rStyle w:val="CharStyle8"/>
        </w:rPr>
        <w:t>Закона о контрактной системе, участие в определении поставщиков (подрядчиков, исполнителей) может быть ограничено только в случаях, предусмотренных настоящим Федеральным законом. Отклонение заявки на участие в закупке по основаниям, не предусмотренным настоящим Федеральным законом, не допускается.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 xml:space="preserve">Таким образом, действия комиссии по осуществлению закупок Заказчика, выразившиеся в необоснованном отклонении заявки Заявителя, нарушают положения части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27 </w:t>
      </w:r>
      <w:r>
        <w:rPr>
          <w:rStyle w:val="CharStyle8"/>
        </w:rPr>
        <w:t xml:space="preserve">и подпункта «а» пункта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50 </w:t>
      </w:r>
      <w:r>
        <w:rPr>
          <w:rStyle w:val="CharStyle8"/>
        </w:rPr>
        <w:t xml:space="preserve">Закона о контрактной системе и содержат признаки состава административного правонарушения, предусмотренного частью </w:t>
      </w:r>
      <w:r>
        <w:rPr>
          <w:rStyle w:val="CharStyle8"/>
          <w:lang w:val="en-US" w:eastAsia="en-US"/>
        </w:rPr>
        <w:t xml:space="preserve">7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7.30.1 </w:t>
      </w:r>
      <w:r>
        <w:rPr>
          <w:rStyle w:val="CharStyle8"/>
        </w:rPr>
        <w:t>Кодекса Российской Федерации об административных правонарушениях.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8"/>
        </w:rPr>
        <w:t>При таких обстоятельствах Комиссия считает необходимым выдать Заказчику и его комиссии по осуществлению закупок обязательное для исполнения предписание об устранении нарушений законодательства.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8"/>
        </w:rPr>
        <w:t xml:space="preserve">На основании вышеизложенного, в соответствии с частью </w:t>
      </w:r>
      <w:r>
        <w:rPr>
          <w:rStyle w:val="CharStyle8"/>
          <w:lang w:val="en-US" w:eastAsia="en-US"/>
        </w:rPr>
        <w:t xml:space="preserve">8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106, </w:t>
      </w:r>
      <w:r>
        <w:rPr>
          <w:rStyle w:val="CharStyle8"/>
        </w:rPr>
        <w:t xml:space="preserve">пунктом </w:t>
      </w:r>
      <w:r>
        <w:rPr>
          <w:rStyle w:val="CharStyle8"/>
          <w:lang w:val="en-US" w:eastAsia="en-US"/>
        </w:rPr>
        <w:t xml:space="preserve">2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22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99 </w:t>
      </w:r>
      <w:r>
        <w:rPr>
          <w:rStyle w:val="CharStyle8"/>
        </w:rPr>
        <w:t>Закона о контрактной системе, Комиссия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8"/>
          <w:b/>
          <w:bCs/>
        </w:rPr>
        <w:t>РЕШИЛА: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 xml:space="preserve">Признать жалобу ООО «Статус» на действия комиссии по осуществлению закупок ГБУЗ АО «АМОКБ» при проведении запроса котировок в электронной форме на право заключить контракт на поставку реагентов для бактериологической лаборатории (среды питательные готовые) (реестровый номер извещения </w:t>
      </w:r>
      <w:r>
        <w:rPr>
          <w:rStyle w:val="CharStyle8"/>
          <w:lang w:val="en-US" w:eastAsia="en-US"/>
        </w:rPr>
        <w:t xml:space="preserve">0325200000626000145) </w:t>
      </w:r>
      <w:r>
        <w:rPr>
          <w:rStyle w:val="CharStyle8"/>
        </w:rPr>
        <w:t>обоснованной.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9" w:val="left"/>
        </w:tabs>
        <w:bidi w:val="0"/>
        <w:spacing w:before="0" w:after="280" w:line="240" w:lineRule="auto"/>
        <w:ind w:left="0" w:right="0" w:firstLine="560"/>
        <w:jc w:val="both"/>
      </w:pPr>
      <w:r>
        <w:rPr>
          <w:rStyle w:val="CharStyle8"/>
        </w:rPr>
        <w:t xml:space="preserve">Признать комиссию по осуществлению закупок ГБУЗ АО «АМОКБ» нарушившим часть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27 </w:t>
      </w:r>
      <w:r>
        <w:rPr>
          <w:rStyle w:val="CharStyle8"/>
        </w:rPr>
        <w:t xml:space="preserve">и подпункт «а» пункта </w:t>
      </w:r>
      <w:r>
        <w:rPr>
          <w:rStyle w:val="CharStyle8"/>
          <w:lang w:val="en-US" w:eastAsia="en-US"/>
        </w:rPr>
        <w:t xml:space="preserve">1 </w:t>
      </w:r>
      <w:r>
        <w:rPr>
          <w:rStyle w:val="CharStyle8"/>
        </w:rPr>
        <w:t xml:space="preserve">части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 xml:space="preserve">статьи </w:t>
      </w:r>
      <w:r>
        <w:rPr>
          <w:rStyle w:val="CharStyle8"/>
          <w:lang w:val="en-US" w:eastAsia="en-US"/>
        </w:rPr>
        <w:t xml:space="preserve">50 </w:t>
      </w:r>
      <w:r>
        <w:rPr>
          <w:rStyle w:val="CharStyle8"/>
        </w:rPr>
        <w:t>Закона о контрактной системе при проведении запроса котировок в электронной форме на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8"/>
        </w:rPr>
        <w:t xml:space="preserve">право заключить контракт на поставку реагентов для бактериологической лаборатории (среды питательные готовые) (реестровый номер извещения </w:t>
      </w:r>
      <w:r>
        <w:rPr>
          <w:rStyle w:val="CharStyle8"/>
          <w:lang w:val="en-US" w:eastAsia="en-US"/>
        </w:rPr>
        <w:t>0325200000626000145).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1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</w:rPr>
        <w:t xml:space="preserve">Выдать ГБУЗ АО «АМОКБ» и его комиссии по осуществлению закупок предписание об устранении допущенных при проведении запроса котировок в электронной форме на право заключить контракт на поставку реагентов для бактериологической лаборатории (среды питательные готовые) (реестровый номер извещения </w:t>
      </w:r>
      <w:r>
        <w:rPr>
          <w:rStyle w:val="CharStyle8"/>
          <w:lang w:val="en-US" w:eastAsia="en-US"/>
        </w:rPr>
        <w:t xml:space="preserve">0325200000626000145) </w:t>
      </w:r>
      <w:r>
        <w:rPr>
          <w:rStyle w:val="CharStyle8"/>
        </w:rPr>
        <w:t>нарушений.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1" w:val="left"/>
        </w:tabs>
        <w:bidi w:val="0"/>
        <w:spacing w:before="0" w:after="280" w:line="240" w:lineRule="auto"/>
        <w:ind w:left="0" w:right="0" w:firstLine="560"/>
        <w:jc w:val="both"/>
      </w:pPr>
      <w:r>
        <w:rPr>
          <w:rStyle w:val="CharStyle8"/>
        </w:rPr>
        <w:t>Передать материалы дела должностному лицу Астраханского УФАС России, уполномоченному на составление протокола об административном правонарушении, для рассмотрения вопроса о возбуждении административного производства.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8"/>
          <w:b/>
          <w:bCs/>
        </w:rPr>
        <w:t xml:space="preserve">Примечание: </w:t>
      </w:r>
      <w:r>
        <w:rPr>
          <w:rStyle w:val="CharStyle8"/>
        </w:rPr>
        <w:t>настоящее решение может быть обжаловано в соответствии с арбитражным процессуальным законодательством в течение трех месяцев с даты его принятия.</w:t>
      </w:r>
    </w:p>
    <w:p>
      <w:pPr>
        <w:widowControl w:val="0"/>
        <w:spacing w:line="1" w:lineRule="exac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105" w:right="538" w:bottom="1217" w:left="109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88900" distB="365760" distL="0" distR="0" simplePos="0" relativeHeight="125829382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88900</wp:posOffset>
                </wp:positionV>
                <wp:extent cx="1825625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200000000000003pt;margin-top:7.pt;width:143.75pt;height:19.699999999999999pt;z-index:-125829371;mso-wrap-distance-left:0;mso-wrap-distance-top:7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83515" distB="0" distL="0" distR="1786255" simplePos="0" relativeHeight="125829384" behindDoc="0" locked="0" layoutInCell="1" allowOverlap="1">
            <wp:simplePos x="0" y="0"/>
            <wp:positionH relativeFrom="page">
              <wp:posOffset>2906395</wp:posOffset>
            </wp:positionH>
            <wp:positionV relativeFrom="paragraph">
              <wp:posOffset>183515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3366770</wp:posOffset>
                </wp:positionH>
                <wp:positionV relativeFrom="paragraph">
                  <wp:posOffset>588645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5.10000000000002pt;margin-top:46.350000000000001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3326765</wp:posOffset>
                </wp:positionH>
                <wp:positionV relativeFrom="paragraph">
                  <wp:posOffset>271780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61.94999999999999pt;margin-top:21.400000000000002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65760" distL="0" distR="0" simplePos="0" relativeHeight="125829385" behindDoc="0" locked="0" layoutInCell="1" allowOverlap="1">
                <wp:simplePos x="0" y="0"/>
                <wp:positionH relativeFrom="page">
                  <wp:posOffset>6076315</wp:posOffset>
                </wp:positionH>
                <wp:positionV relativeFrom="paragraph">
                  <wp:posOffset>88900</wp:posOffset>
                </wp:positionV>
                <wp:extent cx="111252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И.В. Русскина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44999999999999pt;margin-top:7.pt;width:87.600000000000009pt;height:19.699999999999999pt;z-index:-125829368;mso-wrap-distance-left:0;mso-wrap-distance-top:7.pt;mso-wrap-distance-right:0;mso-wrap-distance-bottom:28.8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И.В. Русскина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Русскина Ирина Валерьевна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00EA6C5D9F4BE1730CFA310E870316DA1</w:t>
      </w:r>
      <w:r>
        <w:rPr>
          <w:rStyle w:val="CharStyle29"/>
          <w:lang w:val="en-US" w:eastAsia="en-US"/>
        </w:rPr>
        <w:t>C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29"/>
        </w:rPr>
        <w:t xml:space="preserve">Действителен с 11.12.2025 </w:t>
      </w:r>
      <w:r>
        <w:rPr>
          <w:rStyle w:val="CharStyle29"/>
          <w:color w:val="5E5E5E"/>
        </w:rPr>
        <w:t xml:space="preserve">по </w:t>
      </w:r>
      <w:r>
        <w:rPr>
          <w:rStyle w:val="CharStyle29"/>
        </w:rPr>
        <w:t>06.03.2027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8"/>
        </w:rPr>
        <w:t>Члены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2906395</wp:posOffset>
            </wp:positionH>
            <wp:positionV relativeFrom="paragraph">
              <wp:posOffset>76200</wp:posOffset>
            </wp:positionV>
            <wp:extent cx="359410" cy="52451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3366770</wp:posOffset>
                </wp:positionH>
                <wp:positionV relativeFrom="paragraph">
                  <wp:posOffset>481330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5.10000000000002pt;margin-top:37.899999999999999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3326765</wp:posOffset>
                </wp:positionH>
                <wp:positionV relativeFrom="paragraph">
                  <wp:posOffset>164465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1.94999999999999pt;margin-top:12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8"/>
        </w:rPr>
        <w:t>Е.М. Крупина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Крупина Екатерина Максимовна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  <w:lang w:val="en-US" w:eastAsia="en-US"/>
        </w:rPr>
        <w:t>00DA7352B1B585BC8F4F433340FB20CFDE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29"/>
        </w:rPr>
        <w:t xml:space="preserve">Действителен с 04.08.2025 </w:t>
      </w:r>
      <w:r>
        <w:rPr>
          <w:rStyle w:val="CharStyle29"/>
          <w:color w:val="5E5E5E"/>
        </w:rPr>
        <w:t xml:space="preserve">по </w:t>
      </w:r>
      <w:r>
        <w:rPr>
          <w:rStyle w:val="CharStyle29"/>
        </w:rPr>
        <w:t>28.10.2026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2906395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3366770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65.10000000000002pt;margin-top:36.700000000000003pt;width:101.05pt;height:7.90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3326765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61.94999999999999pt;margin-top:11.700000000000001pt;width:135.59999999999999pt;height:20.400000000000002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8"/>
        </w:rPr>
        <w:t>В.С. Миляева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9"/>
        </w:rPr>
        <w:t xml:space="preserve">Кому выдан: </w:t>
      </w:r>
      <w:r>
        <w:rPr>
          <w:rStyle w:val="CharStyle29"/>
          <w:color w:val="000000"/>
        </w:rPr>
        <w:t>Миляева Валерия Сергеевна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29"/>
        </w:rPr>
        <w:t xml:space="preserve">Сертификат </w:t>
      </w:r>
      <w:r>
        <w:rPr>
          <w:rStyle w:val="CharStyle29"/>
          <w:color w:val="292929"/>
        </w:rPr>
        <w:t xml:space="preserve">№ </w:t>
      </w:r>
      <w:r>
        <w:rPr>
          <w:rStyle w:val="CharStyle29"/>
        </w:rPr>
        <w:t>615579531</w:t>
      </w:r>
      <w:r>
        <w:rPr>
          <w:rStyle w:val="CharStyle29"/>
          <w:lang w:val="en-US" w:eastAsia="en-US"/>
        </w:rPr>
        <w:t>CF23825F884A92A232AB4B6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780" w:line="240" w:lineRule="auto"/>
        <w:ind w:right="0" w:firstLine="0"/>
        <w:jc w:val="left"/>
      </w:pPr>
      <w:r>
        <w:rPr>
          <w:rStyle w:val="CharStyle29"/>
        </w:rPr>
        <w:t xml:space="preserve">Действителен с 30.03.2026 </w:t>
      </w:r>
      <w:r>
        <w:rPr>
          <w:rStyle w:val="CharStyle29"/>
          <w:color w:val="5E5E5E"/>
        </w:rPr>
        <w:t xml:space="preserve">по </w:t>
      </w:r>
      <w:r>
        <w:rPr>
          <w:rStyle w:val="CharStyle29"/>
        </w:rPr>
        <w:t>23.06.2027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4"/>
        </w:rPr>
        <w:t>Исп.Крупина Е.М.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34"/>
        </w:rPr>
        <w:t>тел.(8512) 39-29-54, вн.030-115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6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718185</wp:posOffset>
              </wp:positionH>
              <wp:positionV relativeFrom="page">
                <wp:posOffset>10010140</wp:posOffset>
              </wp:positionV>
              <wp:extent cx="658495" cy="10985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202-2244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550000000000004pt;margin-top:788.20000000000005pt;width:51.85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202-2244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9851390</wp:posOffset>
              </wp:positionV>
              <wp:extent cx="658495" cy="10985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  <w:lang w:val="ru-RU" w:eastAsia="ru-RU"/>
                            </w:rPr>
                            <w:t>202-2244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99999999999999pt;margin-top:775.70000000000005pt;width:51.85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  <w:lang w:val="ru-RU" w:eastAsia="ru-RU"/>
                      </w:rPr>
                      <w:t>202-2244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Picture caption_"/>
    <w:basedOn w:val="DefaultParagraphFont"/>
    <w:link w:val="Style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Heading #2_"/>
    <w:basedOn w:val="DefaultParagraphFont"/>
    <w:link w:val="Style17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4">
    <w:name w:val="Table caption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lang w:val="en-US" w:eastAsia="en-US"/>
    </w:rPr>
  </w:style>
  <w:style w:type="character" w:customStyle="1" w:styleId="CharStyle26">
    <w:name w:val="Other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9">
    <w:name w:val="Body text (2)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4">
    <w:name w:val="Body text (5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20" w:line="305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Picture caption"/>
    <w:basedOn w:val="Normal"/>
    <w:link w:val="CharStyle1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Heading #2"/>
    <w:basedOn w:val="Normal"/>
    <w:link w:val="CharStyle18"/>
    <w:pPr>
      <w:widowControl w:val="0"/>
      <w:shd w:val="clear" w:color="auto" w:fill="auto"/>
      <w:spacing w:after="80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3">
    <w:name w:val="Table caption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lang w:val="en-US" w:eastAsia="en-US"/>
    </w:rPr>
  </w:style>
  <w:style w:type="paragraph" w:customStyle="1" w:styleId="Style25">
    <w:name w:val="Other"/>
    <w:basedOn w:val="Normal"/>
    <w:link w:val="CharStyle2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8">
    <w:name w:val="Body text (2)"/>
    <w:basedOn w:val="Normal"/>
    <w:link w:val="CharStyle29"/>
    <w:pPr>
      <w:widowControl w:val="0"/>
      <w:shd w:val="clear" w:color="auto" w:fill="auto"/>
      <w:ind w:left="35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3">
    <w:name w:val="Body text (5)"/>
    <w:basedOn w:val="Normal"/>
    <w:link w:val="CharStyle34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