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34"/>
          <w:szCs w:val="134"/>
        </w:rPr>
      </w:pPr>
      <w:r>
        <w:rPr>
          <w:rStyle w:val="CharStyle3"/>
          <w:color w:val="476199"/>
          <w:sz w:val="134"/>
          <w:szCs w:val="134"/>
          <w:lang w:val="en-US" w:eastAsia="en-US"/>
        </w:rPr>
        <w:t>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9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9"/>
          <w:sz w:val="19"/>
          <w:szCs w:val="19"/>
        </w:rPr>
        <w:t>МЕЖРЕГИОНАЛЬНОЕ УПРАВЛЕНИЕ</w:t>
        <w:br/>
        <w:t>Федеральной антимонопольной службы</w:t>
        <w:br/>
        <w:t>по Республике Крым и городу Севастополю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9"/>
          <w:sz w:val="16"/>
          <w:szCs w:val="16"/>
        </w:rPr>
        <w:t>Александра Невского,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83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9"/>
          <w:sz w:val="16"/>
          <w:szCs w:val="16"/>
        </w:rPr>
        <w:t>Симферополь, Республика Крым, 295000</w:t>
        <w:br/>
        <w:t>тел. (499) 755-23-23 доб. 082-100</w:t>
        <w:br/>
      </w:r>
      <w:r>
        <w:rPr>
          <w:rStyle w:val="CharStyle3"/>
          <w:color w:val="476199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"mailto:to82@fas.gov.ru" </w:instrText>
      </w:r>
      <w:r>
        <w:fldChar w:fldCharType="separate"/>
      </w:r>
      <w:r>
        <w:rPr>
          <w:rStyle w:val="CharStyle3"/>
          <w:color w:val="476199"/>
          <w:sz w:val="16"/>
          <w:szCs w:val="16"/>
          <w:lang w:val="en-US" w:eastAsia="en-US"/>
        </w:rPr>
        <w:t>to82@fas.gov.ru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2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7.04.2026</w:t>
        <w:tab/>
      </w:r>
      <w:r>
        <w:fldChar w:fldCharType="end"/>
      </w:r>
      <w:r>
        <w:rPr>
          <w:rStyle w:val="CharStyle12"/>
        </w:rPr>
        <w:t>№ АР/5203/26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color w:val="476199"/>
          <w:sz w:val="18"/>
          <w:szCs w:val="18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3"/>
          <w:sz w:val="24"/>
          <w:szCs w:val="24"/>
        </w:rPr>
        <w:t>решение по делу №082/06/105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3"/>
          <w:sz w:val="24"/>
          <w:szCs w:val="24"/>
        </w:rPr>
        <w:t>784/2026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Заявитель: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ООО "АНИКА"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420102, РЕСПУБЛИКА ТАТАРСТАН (ТАТАРСТАН), Г. КАЗАНЬ, УЛ.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</w:rPr>
        <w:t xml:space="preserve">ГАЛИМДЖАНА БАРУДИ, Д. 18, ПОМЕЩ.1009 </w:t>
      </w:r>
      <w:r>
        <w:fldChar w:fldCharType="begin"/>
      </w:r>
      <w:r>
        <w:rPr/>
        <w:instrText> HYPERLINK "mailto:5829816@mail.ru" </w:instrText>
      </w:r>
      <w:r>
        <w:fldChar w:fldCharType="separate"/>
      </w:r>
      <w:r>
        <w:rPr>
          <w:rStyle w:val="CharStyle16"/>
          <w:lang w:val="en-US" w:eastAsia="en-US"/>
        </w:rPr>
        <w:t>5829816@mail.ru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Заказчик: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ФГБОУ "Международный детский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центр "Артек"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</w:rPr>
        <w:t xml:space="preserve">ул. Ленинградская, д. 41, пгт. Гурзуф, г.Ялта, Республика Крым, 298645 </w:t>
      </w:r>
      <w:r>
        <w:fldChar w:fldCharType="begin"/>
      </w:r>
      <w:r>
        <w:rPr/>
        <w:instrText> HYPERLINK "mailto:zakupki@artek.org" </w:instrText>
      </w:r>
      <w:r>
        <w:fldChar w:fldCharType="separate"/>
      </w:r>
      <w:r>
        <w:rPr>
          <w:rStyle w:val="CharStyle16"/>
          <w:lang w:val="en-US" w:eastAsia="en-US"/>
        </w:rPr>
        <w:t>zakupki@artek.org</w:t>
      </w:r>
      <w:r>
        <w:fldChar w:fldCharType="end"/>
      </w:r>
      <w:r>
        <w:rPr>
          <w:rStyle w:val="CharStyle16"/>
          <w:lang w:val="en-US" w:eastAsia="en-US"/>
        </w:rPr>
        <w:t xml:space="preserve">; </w:t>
      </w:r>
      <w:r>
        <w:fldChar w:fldCharType="begin"/>
      </w:r>
      <w:r>
        <w:rPr/>
        <w:instrText> HYPERLINK "mailto:office@artek.org" </w:instrText>
      </w:r>
      <w:r>
        <w:fldChar w:fldCharType="separate"/>
      </w:r>
      <w:r>
        <w:rPr>
          <w:rStyle w:val="CharStyle16"/>
          <w:lang w:val="en-US" w:eastAsia="en-US"/>
        </w:rPr>
        <w:t>office@artek.org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Оператор электронной площадки: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АО «Сбербанк-АСТ»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119435, Москва, переулок Саввинский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Б., д. 12, стр. 9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58" w:right="858" w:bottom="1216" w:left="1135" w:header="0" w:footer="3" w:gutter="0"/>
          <w:pgNumType w:start="1"/>
          <w:cols w:num="2" w:space="720" w:equalWidth="0">
            <w:col w:w="4186" w:space="1085"/>
            <w:col w:w="4637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6"/>
          <w:lang w:val="en-US" w:eastAsia="en-US"/>
        </w:rPr>
        <w:t>ko@sberbank-ast.ru</w:t>
      </w:r>
      <w:r>
        <w:fldChar w:fldCharType="end"/>
      </w:r>
    </w:p>
    <w:p>
      <w:pPr>
        <w:widowControl w:val="0"/>
        <w:spacing w:line="98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16" w:right="0" w:bottom="7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Решение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6"/>
          <w:b/>
          <w:bCs/>
        </w:rPr>
        <w:t>по делу №082/06/105-784/2026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5902325</wp:posOffset>
                </wp:positionH>
                <wp:positionV relativeFrom="paragraph">
                  <wp:posOffset>12700</wp:posOffset>
                </wp:positionV>
                <wp:extent cx="1219200" cy="2501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г. Симферополь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64.75pt;margin-top:1.pt;width:96.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г. Симферополь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</w:rPr>
        <w:t>Резолютивная часть решения оглашена 27.04.2026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6"/>
        </w:rPr>
        <w:t>Решение в полном объеме изготовлено 27.04.2026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Комиссия по контролю в сфере закупок товаров, работ, услуг Межрегионального Управления Федеральной антимонопольной службы по Республике Крым и городу Севастополю (Крымское межрегиональное УФАС России) (далее –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председатель Комиссии – заместитель руководителя Крымского межрегионального УФАС России А.П. Рудакова,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заместитель начальника отдела контроля закупок Крымского межрегионального УФАС России Т.Д. Аблаева,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консультант отдела контроля закупок Крымского межрегионального УФАС России Э.С. Аджислямова,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при участии представителей интересов: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ФГБОУ "Международный детский центр "Артек" (далее – Заказчик) – Л.М.Колывушко, А.Б. Яблокова (по доверенности),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3" w:val="left"/>
        </w:tabs>
        <w:bidi w:val="0"/>
        <w:spacing w:before="0" w:after="200" w:line="240" w:lineRule="auto"/>
        <w:ind w:left="0" w:right="0" w:firstLine="580"/>
        <w:jc w:val="both"/>
      </w:pPr>
      <w:r>
        <w:rPr>
          <w:rStyle w:val="CharStyle16"/>
        </w:rPr>
        <w:t>ОООО "АНИКА" (далее – Заявитель) – на заседание Комиссии не явился, о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1"/>
        </w:rPr>
        <w:t>1IIIIIIIIIIIIIIIIIIIIIII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дате, времени и месте рассмотрения обращения посредством видеоконференц-связи с возможностью очного участия уведомлен надлежащим образом;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rStyle w:val="CharStyle16"/>
        </w:rPr>
        <w:t xml:space="preserve">рассмотрев жалобу Заявителя (вх.№7548/26 от </w:t>
      </w:r>
      <w:r>
        <w:rPr>
          <w:rStyle w:val="CharStyle16"/>
          <w:lang w:val="en-US" w:eastAsia="en-US"/>
        </w:rPr>
        <w:t xml:space="preserve">21.04.2026) </w:t>
      </w:r>
      <w:r>
        <w:rPr>
          <w:rStyle w:val="CharStyle16"/>
        </w:rPr>
        <w:t xml:space="preserve">на действия Заказчика при проведении закупки «Оказание услуг по обслуживанию помещений комплексных детского центра «Корсунь»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филиал «МДЦ «Артек»» (извещение </w:t>
      </w:r>
      <w:r>
        <w:rPr>
          <w:rStyle w:val="CharStyle16"/>
          <w:lang w:val="en-US" w:eastAsia="en-US"/>
        </w:rPr>
        <w:t xml:space="preserve">№0375100001226000123) </w:t>
      </w:r>
      <w:r>
        <w:rPr>
          <w:rStyle w:val="CharStyle16"/>
        </w:rPr>
        <w:t xml:space="preserve">(далее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Закупка), в соответствии со статьей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05.04.2013 </w:t>
      </w:r>
      <w:r>
        <w:rPr>
          <w:rStyle w:val="CharStyle16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Закон о контрактной системе),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6"/>
          <w:b/>
          <w:bCs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В Крымское межрегиональное УФАС России посредством единой информационной службе в сфере закупок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ЕИС) поступила жалоба ООО "АНИКА" (далее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>Заявитель) на действия Заказчика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105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05.04.2013 N44-ФЗ </w:t>
      </w:r>
      <w:r>
        <w:rPr>
          <w:rStyle w:val="CharStyle16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Закон о контрактной системе)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93 </w:t>
      </w:r>
      <w:r>
        <w:rPr>
          <w:rStyle w:val="CharStyle16"/>
        </w:rPr>
        <w:t>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105 </w:t>
      </w:r>
      <w:r>
        <w:rPr>
          <w:rStyle w:val="CharStyle16"/>
        </w:rPr>
        <w:t xml:space="preserve">Закона о контрактной системе установлено, что при проведении электронных процедур, закрытых электронных процедур жалоба может быть подана в контрольные органы в сфере закупок, предусмотренные частью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>настоящей статьи, исключительно с использованием единой информационной системы путем формирования и размещения в этой системе следующей информации: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наименование контрольного органа в сфере закупок, предусмотренного частью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>настоящей статьи, в который подается жалоба на действия (бездействие) субъекта (субъектов) контроля;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наименование участника закупки в соответствии с информацией, включенной в единый реестр участников закупок;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280" w:line="240" w:lineRule="auto"/>
        <w:ind w:left="0" w:right="0" w:firstLine="580"/>
        <w:jc w:val="both"/>
      </w:pPr>
      <w:r>
        <w:rPr>
          <w:rStyle w:val="CharStyle16"/>
        </w:rPr>
        <w:t>идентификационный код закупки, за исключением случаев, при которых в соответствии с настоящим Федеральным законом указание такого кода не предусмотрено, а также случаев подачи жалобы на действия (бездействие) оператора электронной площадки, оператора специализированной электронной площадки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совершенные при аккредитации участника закупки на электронной площадке специализированной электронной площадке, при размещении на электронной площадке предварительного предложения. Указание нескольких идентификационных кодов закупки (за исключением кодов закупок предусмотренных статьями </w:t>
      </w:r>
      <w:r>
        <w:rPr>
          <w:rStyle w:val="CharStyle16"/>
          <w:lang w:val="en-US" w:eastAsia="en-US"/>
        </w:rPr>
        <w:t xml:space="preserve">25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26 </w:t>
      </w:r>
      <w:r>
        <w:rPr>
          <w:rStyle w:val="CharStyle16"/>
        </w:rPr>
        <w:t>настоящего Федерального закона) не допускается;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наименование субъекта (субъектов) контроля, действия которого (которых) обжалуются;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указание на обжалуемые действия (бездействие) субъекта (субъектов) контроля, доводы жалобы;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номер реестровой записи в реестре контрактов, заключенных заказчиками или в реестре договоров, заключенных заказчиками, предусмотренных Федеральным законом от </w:t>
      </w:r>
      <w:r>
        <w:rPr>
          <w:rStyle w:val="CharStyle16"/>
          <w:lang w:val="en-US" w:eastAsia="en-US"/>
        </w:rPr>
        <w:t xml:space="preserve">18 </w:t>
      </w:r>
      <w:r>
        <w:rPr>
          <w:rStyle w:val="CharStyle16"/>
        </w:rPr>
        <w:t xml:space="preserve">июля </w:t>
      </w:r>
      <w:r>
        <w:rPr>
          <w:rStyle w:val="CharStyle16"/>
          <w:lang w:val="en-US" w:eastAsia="en-US"/>
        </w:rPr>
        <w:t xml:space="preserve">2011 </w:t>
      </w:r>
      <w:r>
        <w:rPr>
          <w:rStyle w:val="CharStyle16"/>
        </w:rPr>
        <w:t xml:space="preserve">года </w:t>
      </w:r>
      <w:r>
        <w:rPr>
          <w:rStyle w:val="CharStyle16"/>
          <w:lang w:val="en-US" w:eastAsia="en-US"/>
        </w:rPr>
        <w:t xml:space="preserve">N </w:t>
      </w:r>
      <w:r>
        <w:rPr>
          <w:rStyle w:val="CharStyle16"/>
        </w:rPr>
        <w:t xml:space="preserve">223-ФЗ "О закупках товаров, работ, услуг отдельными видами юридических лиц",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в отношении контракта или договора предусмотренных частью </w:t>
      </w:r>
      <w:r>
        <w:rPr>
          <w:rStyle w:val="CharStyle16"/>
          <w:lang w:val="en-US" w:eastAsia="en-US"/>
        </w:rPr>
        <w:t xml:space="preserve">2.1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 xml:space="preserve">настоящего Федерального закона, стоимость и срок исполненных обязательств по которым соответствуют требованиям указанной части (в случае установления требований в соответствии с частью </w:t>
      </w:r>
      <w:r>
        <w:rPr>
          <w:rStyle w:val="CharStyle16"/>
          <w:lang w:val="en-US" w:eastAsia="en-US"/>
        </w:rPr>
        <w:t xml:space="preserve">2.1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>настоящего Федерального закона) и информация об исполнении которых в соответствии с настоящим Федеральным законом размещена в единой информационной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В соответствии с извещением по закупке </w:t>
      </w:r>
      <w:r>
        <w:rPr>
          <w:rStyle w:val="CharStyle16"/>
          <w:lang w:val="en-US" w:eastAsia="en-US"/>
        </w:rPr>
        <w:t xml:space="preserve">№0375100001226000123 </w:t>
      </w:r>
      <w:r>
        <w:rPr>
          <w:rStyle w:val="CharStyle16"/>
        </w:rPr>
        <w:t xml:space="preserve">установлено требование к участникам закупок в соответствии с позицией </w:t>
      </w:r>
      <w:r>
        <w:rPr>
          <w:rStyle w:val="CharStyle16"/>
          <w:lang w:val="en-US" w:eastAsia="en-US"/>
        </w:rPr>
        <w:t xml:space="preserve">36 </w:t>
      </w:r>
      <w:r>
        <w:rPr>
          <w:rStyle w:val="CharStyle16"/>
        </w:rPr>
        <w:t xml:space="preserve">раздела </w:t>
      </w:r>
      <w:r>
        <w:rPr>
          <w:rStyle w:val="CharStyle16"/>
          <w:lang w:val="en-US" w:eastAsia="en-US"/>
        </w:rPr>
        <w:t xml:space="preserve">VI </w:t>
      </w:r>
      <w:r>
        <w:rPr>
          <w:rStyle w:val="CharStyle16"/>
        </w:rPr>
        <w:t xml:space="preserve">приложения к Постановлению Правительства РФ от </w:t>
      </w:r>
      <w:r>
        <w:rPr>
          <w:rStyle w:val="CharStyle16"/>
          <w:lang w:val="en-US" w:eastAsia="en-US"/>
        </w:rPr>
        <w:t xml:space="preserve">29.12.2021 N 2571 </w:t>
      </w:r>
      <w:r>
        <w:rPr>
          <w:rStyle w:val="CharStyle16"/>
        </w:rPr>
        <w:t xml:space="preserve">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Постановление </w:t>
      </w:r>
      <w:r>
        <w:rPr>
          <w:rStyle w:val="CharStyle16"/>
          <w:lang w:val="en-US" w:eastAsia="en-US"/>
        </w:rPr>
        <w:t xml:space="preserve">№2571): </w:t>
      </w:r>
      <w:r>
        <w:rPr>
          <w:rStyle w:val="CharStyle16"/>
        </w:rPr>
        <w:t xml:space="preserve">Наличие опыта исполнения участником закупки договора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</w:t>
      </w:r>
      <w:r>
        <w:rPr>
          <w:rStyle w:val="CharStyle16"/>
          <w:lang w:val="en-US" w:eastAsia="en-US"/>
        </w:rPr>
        <w:t xml:space="preserve">20 </w:t>
      </w:r>
      <w:r>
        <w:rPr>
          <w:rStyle w:val="CharStyle16"/>
        </w:rPr>
        <w:t>процентов от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Информация и документы, подтверждающие соответствие участников закупки запрос информации дополнительным требованиям: </w:t>
      </w:r>
      <w:r>
        <w:rPr>
          <w:rStyle w:val="CharStyle16"/>
          <w:lang w:val="en-US" w:eastAsia="en-US"/>
        </w:rPr>
        <w:t xml:space="preserve">1) </w:t>
      </w:r>
      <w:r>
        <w:rPr>
          <w:rStyle w:val="CharStyle16"/>
        </w:rPr>
        <w:t xml:space="preserve">исполненный договор; </w:t>
      </w:r>
      <w:r>
        <w:rPr>
          <w:rStyle w:val="CharStyle16"/>
          <w:lang w:val="en-US" w:eastAsia="en-US"/>
        </w:rPr>
        <w:t xml:space="preserve">2) </w:t>
      </w:r>
      <w:r>
        <w:rPr>
          <w:rStyle w:val="CharStyle16"/>
        </w:rPr>
        <w:t>акт приемки оказанных услуг, подтверждающий цену оказанных услуг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В соответствии с позицией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раздела </w:t>
      </w:r>
      <w:r>
        <w:rPr>
          <w:rStyle w:val="CharStyle16"/>
          <w:lang w:val="en-US" w:eastAsia="en-US"/>
        </w:rPr>
        <w:t xml:space="preserve">VI </w:t>
      </w:r>
      <w:r>
        <w:rPr>
          <w:rStyle w:val="CharStyle16"/>
        </w:rPr>
        <w:t xml:space="preserve">приложения к Постановление </w:t>
      </w:r>
      <w:r>
        <w:rPr>
          <w:rStyle w:val="CharStyle16"/>
          <w:lang w:val="en-US" w:eastAsia="en-US"/>
        </w:rPr>
        <w:t xml:space="preserve">№2571: </w:t>
      </w:r>
      <w:r>
        <w:rPr>
          <w:rStyle w:val="CharStyle16"/>
        </w:rPr>
        <w:t xml:space="preserve">к участникам закупки по техническому обслуживанию предъявляется требование о наличии опыта исполнения участником закупки договора, предусматривающего выполнение работ, оказание услуг по техническому обслуживанию зданий сооружений. Цена выполненных работ, оказанных услуг по договору должна составлять не менее </w:t>
      </w:r>
      <w:r>
        <w:rPr>
          <w:rStyle w:val="CharStyle16"/>
          <w:lang w:val="en-US" w:eastAsia="en-US"/>
        </w:rPr>
        <w:t xml:space="preserve">20 </w:t>
      </w:r>
      <w:r>
        <w:rPr>
          <w:rStyle w:val="CharStyle16"/>
        </w:rPr>
        <w:t>процентов начальной (максимальной) цены контракта заключаемого по результатам определения поставщика (подрядчика, исполнителя.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Информация и документы, подтверждающие соответствие участников закупки дополнительным требованиям: </w:t>
      </w:r>
      <w:r>
        <w:rPr>
          <w:rStyle w:val="CharStyle16"/>
          <w:lang w:val="en-US" w:eastAsia="en-US"/>
        </w:rPr>
        <w:t xml:space="preserve">1) </w:t>
      </w:r>
      <w:r>
        <w:rPr>
          <w:rStyle w:val="CharStyle16"/>
        </w:rPr>
        <w:t xml:space="preserve">исполненный договор; </w:t>
      </w:r>
      <w:r>
        <w:rPr>
          <w:rStyle w:val="CharStyle16"/>
          <w:lang w:val="en-US" w:eastAsia="en-US"/>
        </w:rPr>
        <w:t xml:space="preserve">2) </w:t>
      </w:r>
      <w:r>
        <w:rPr>
          <w:rStyle w:val="CharStyle16"/>
        </w:rPr>
        <w:t>акт приемки оказанных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услуг, подтверждающий цену оказанных услуг.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Начальная (максимальная) цена контракта по закупке </w:t>
      </w:r>
      <w:r>
        <w:rPr>
          <w:rStyle w:val="CharStyle16"/>
          <w:lang w:val="en-US" w:eastAsia="en-US"/>
        </w:rPr>
        <w:t xml:space="preserve">№0375100001226000123 </w:t>
      </w:r>
      <w:r>
        <w:rPr>
          <w:rStyle w:val="CharStyle16"/>
        </w:rPr>
        <w:t xml:space="preserve">на оказание услуг по обслуживанию помещений комплексных детского центра «Корсунь»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филиал «МДЦ «Артек» составляет </w:t>
      </w:r>
      <w:r>
        <w:rPr>
          <w:rStyle w:val="CharStyle16"/>
          <w:lang w:val="en-US" w:eastAsia="en-US"/>
        </w:rPr>
        <w:t xml:space="preserve">125 004 000,00 </w:t>
      </w:r>
      <w:r>
        <w:rPr>
          <w:rStyle w:val="CharStyle16"/>
        </w:rPr>
        <w:t>руб.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При этом НМЦК по уборке зданий, сооружений, прилегающих к ним территорий составляет </w:t>
      </w:r>
      <w:r>
        <w:rPr>
          <w:rStyle w:val="CharStyle16"/>
          <w:lang w:val="en-US" w:eastAsia="en-US"/>
        </w:rPr>
        <w:t xml:space="preserve">81 466 666, 64 </w:t>
      </w:r>
      <w:r>
        <w:rPr>
          <w:rStyle w:val="CharStyle16"/>
        </w:rPr>
        <w:t xml:space="preserve">руб., НМЦК по техническому обслуживанию </w:t>
      </w:r>
      <w:r>
        <w:rPr>
          <w:rStyle w:val="CharStyle16"/>
          <w:lang w:val="en-US" w:eastAsia="en-US"/>
        </w:rPr>
        <w:t xml:space="preserve">43 537 333,36 </w:t>
      </w:r>
      <w:r>
        <w:rPr>
          <w:rStyle w:val="CharStyle16"/>
        </w:rPr>
        <w:t>руб.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Следовательно для участия в закупке по уборке с НМЦК </w:t>
      </w:r>
      <w:r>
        <w:rPr>
          <w:rStyle w:val="CharStyle16"/>
          <w:lang w:val="en-US" w:eastAsia="en-US"/>
        </w:rPr>
        <w:t xml:space="preserve">81 466 666, 64 </w:t>
      </w:r>
      <w:r>
        <w:rPr>
          <w:rStyle w:val="CharStyle16"/>
        </w:rPr>
        <w:t xml:space="preserve">руб участник закупки должен иметь опыт на сумму не менее </w:t>
      </w:r>
      <w:r>
        <w:rPr>
          <w:rStyle w:val="CharStyle16"/>
          <w:lang w:val="en-US" w:eastAsia="en-US"/>
        </w:rPr>
        <w:t xml:space="preserve">16 293 333,328 </w:t>
      </w:r>
      <w:r>
        <w:rPr>
          <w:rStyle w:val="CharStyle16"/>
        </w:rPr>
        <w:t xml:space="preserve">руб. Для участия в закупке по техническому обслуживанию с НМЦК </w:t>
      </w:r>
      <w:r>
        <w:rPr>
          <w:rStyle w:val="CharStyle16"/>
          <w:lang w:val="en-US" w:eastAsia="en-US"/>
        </w:rPr>
        <w:t xml:space="preserve">43 537 333,36 </w:t>
      </w:r>
      <w:r>
        <w:rPr>
          <w:rStyle w:val="CharStyle16"/>
        </w:rPr>
        <w:t xml:space="preserve">руб. участник закупки должен иметь опыт на сумму не менее </w:t>
      </w:r>
      <w:r>
        <w:rPr>
          <w:rStyle w:val="CharStyle16"/>
          <w:lang w:val="en-US" w:eastAsia="en-US"/>
        </w:rPr>
        <w:t xml:space="preserve">7 585 866, 66 </w:t>
      </w:r>
      <w:r>
        <w:rPr>
          <w:rStyle w:val="CharStyle16"/>
        </w:rPr>
        <w:t>руб.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Антимонопольным органом направлен запрос ООО «АНИКА» о предоставлении документов, подтверждающих соответствие ООО "АНИКА" требованию по опыту оказания услуг по уборке зданий, сооружений, прилегающих к ним территорий и по техническому обслуживанию.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Согласно представленному ответу ООО «АНИКА» от 26.04.206г. на запрос Крымского УФАС указала на один контракт </w:t>
      </w:r>
      <w:r>
        <w:rPr>
          <w:rStyle w:val="CharStyle16"/>
          <w:lang w:val="en-US" w:eastAsia="en-US"/>
        </w:rPr>
        <w:t xml:space="preserve">№1165400453421000038 </w:t>
      </w:r>
      <w:r>
        <w:rPr>
          <w:rStyle w:val="CharStyle16"/>
        </w:rPr>
        <w:t xml:space="preserve">от 16.11.2021г. по уборке на сумму </w:t>
      </w:r>
      <w:r>
        <w:rPr>
          <w:rStyle w:val="CharStyle16"/>
          <w:lang w:val="en-US" w:eastAsia="en-US"/>
        </w:rPr>
        <w:t xml:space="preserve">9 341 284,52 </w:t>
      </w:r>
      <w:r>
        <w:rPr>
          <w:rStyle w:val="CharStyle16"/>
        </w:rPr>
        <w:t xml:space="preserve">руб., таким образом у Заявителя отсутствует опыт выполнения договора на сумму не менее </w:t>
      </w:r>
      <w:r>
        <w:rPr>
          <w:rStyle w:val="CharStyle16"/>
          <w:lang w:val="en-US" w:eastAsia="en-US"/>
        </w:rPr>
        <w:t xml:space="preserve">20 </w:t>
      </w:r>
      <w:r>
        <w:rPr>
          <w:rStyle w:val="CharStyle16"/>
        </w:rPr>
        <w:t xml:space="preserve">процентов от начальной (максимальной) цены контракта (НМЦК по уборке </w:t>
      </w:r>
      <w:r>
        <w:rPr>
          <w:rStyle w:val="CharStyle16"/>
          <w:lang w:val="en-US" w:eastAsia="en-US"/>
        </w:rPr>
        <w:t xml:space="preserve">81 466 666, 64 </w:t>
      </w:r>
      <w:r>
        <w:rPr>
          <w:rStyle w:val="CharStyle16"/>
        </w:rPr>
        <w:t xml:space="preserve">руб., НМЦК по техническому обслуживанию </w:t>
      </w:r>
      <w:r>
        <w:rPr>
          <w:rStyle w:val="CharStyle16"/>
          <w:lang w:val="en-US" w:eastAsia="en-US"/>
        </w:rPr>
        <w:t xml:space="preserve">43 537 333,36 </w:t>
      </w:r>
      <w:r>
        <w:rPr>
          <w:rStyle w:val="CharStyle16"/>
        </w:rPr>
        <w:t>руб).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Согласно иным открытым сведениям из Единой информационной системы в сфере закупок у ООО «АНИКА» (ИНН </w:t>
      </w:r>
      <w:r>
        <w:rPr>
          <w:rStyle w:val="CharStyle16"/>
          <w:lang w:val="en-US" w:eastAsia="en-US"/>
        </w:rPr>
        <w:t xml:space="preserve">1655397623) </w:t>
      </w:r>
      <w:r>
        <w:rPr>
          <w:rStyle w:val="CharStyle16"/>
        </w:rPr>
        <w:t xml:space="preserve">также отсутствует опыт выполнения договора по уборке зданий, сооружений, прилегающих к ним территорий и по техническому обслуживание сумму не менее </w:t>
      </w:r>
      <w:r>
        <w:rPr>
          <w:rStyle w:val="CharStyle16"/>
          <w:lang w:val="en-US" w:eastAsia="en-US"/>
        </w:rPr>
        <w:t xml:space="preserve">20 </w:t>
      </w:r>
      <w:r>
        <w:rPr>
          <w:rStyle w:val="CharStyle16"/>
        </w:rPr>
        <w:t>процентов от начальной (максимальной) цены контракта соответственно.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Указанные обстоятельства свидетельствуют об отсутствии у Заявителя специальной правоспособности, которая позволила бы ему принять участие в закупке и претендовать на заключение контракта, что свидетельствует об отсутствии у заявителя материально-правовой заинтересованности участия в закупке, в связи с чем права и законные интересы участника закупки не могут быть нарушены.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Права и законные интересы участника закупки, не обладающего соответствующей Специальной правоспособностью, не могут быть нарушены действиями (бездействием) субъекта контроля при осуществлении закупки, для участия в которой в соответствии с законодательством Российской Федерации необходимо наличие Специальной правоспособности. (Письмо Федеральной антимонопольной службы от </w:t>
      </w:r>
      <w:r>
        <w:rPr>
          <w:rStyle w:val="CharStyle16"/>
          <w:lang w:val="en-US" w:eastAsia="en-US"/>
        </w:rPr>
        <w:t xml:space="preserve">29 </w:t>
      </w:r>
      <w:r>
        <w:rPr>
          <w:rStyle w:val="CharStyle16"/>
        </w:rPr>
        <w:t xml:space="preserve">декабря </w:t>
      </w:r>
      <w:r>
        <w:rPr>
          <w:rStyle w:val="CharStyle16"/>
          <w:lang w:val="en-US" w:eastAsia="en-US"/>
        </w:rPr>
        <w:t xml:space="preserve">2023 </w:t>
      </w:r>
      <w:r>
        <w:rPr>
          <w:rStyle w:val="CharStyle16"/>
        </w:rPr>
        <w:t>№МШ/112518/23 "Разъяснения по вопросам принятия жалоб к рассмотрению").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В связи с вышеизложенным права и законные интересы Заявителя не могут быть нарушены действиями, следовательно, рассмотрение данной жалобы Комиссией Крымского УФАС России не осуществляется.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Руководствуясь частью </w:t>
      </w:r>
      <w:r>
        <w:rPr>
          <w:rStyle w:val="CharStyle16"/>
          <w:lang w:val="en-US" w:eastAsia="en-US"/>
        </w:rPr>
        <w:t xml:space="preserve">15, 22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99, </w:t>
      </w: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 Комиссия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6"/>
        </w:rPr>
        <w:t>РЕШИЛА: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left"/>
      </w:pPr>
      <w:r>
        <w:rPr>
          <w:rStyle w:val="CharStyle16"/>
        </w:rPr>
        <w:t xml:space="preserve">Жалобу Заявителя оставить без рассмотрения в соответствии с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105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16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16" w:right="539" w:bottom="759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2542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88900</wp:posOffset>
                </wp:positionV>
                <wp:extent cx="1825625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7.pt;width:143.75pt;height:19.699999999999999pt;z-index:-125829373;mso-wrap-distance-left:0;mso-wrap-distance-top:7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6350" distL="0" distR="1786255" simplePos="0" relativeHeight="125829382" behindDoc="0" locked="0" layoutInCell="1" allowOverlap="1">
            <wp:simplePos x="0" y="0"/>
            <wp:positionH relativeFrom="page">
              <wp:posOffset>2887980</wp:posOffset>
            </wp:positionH>
            <wp:positionV relativeFrom="paragraph">
              <wp:posOffset>161925</wp:posOffset>
            </wp:positionV>
            <wp:extent cx="359410" cy="39624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3308350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0.5pt;margin-top:19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635" distL="0" distR="0" simplePos="0" relativeHeight="125829383" behindDoc="0" locked="0" layoutInCell="1" allowOverlap="1">
                <wp:simplePos x="0" y="0"/>
                <wp:positionH relativeFrom="page">
                  <wp:posOffset>6094730</wp:posOffset>
                </wp:positionH>
                <wp:positionV relativeFrom="paragraph">
                  <wp:posOffset>341630</wp:posOffset>
                </wp:positionV>
                <wp:extent cx="1094105" cy="2222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А.П. Рудакова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9.90000000000003pt;margin-top:26.900000000000002pt;width:86.150000000000006pt;height:17.5pt;z-index:-125829370;mso-wrap-distance-left:0;mso-wrap-distance-top:26.900000000000002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А.П. Рудакова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>Рудакова Анна Павловна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04040"/>
          <w:sz w:val="12"/>
          <w:szCs w:val="12"/>
          <w:lang w:val="en-US" w:eastAsia="en-US"/>
        </w:rPr>
        <w:t>00BA9D090B51F51B7B58A4FE530CFAC1D</w:t>
      </w:r>
      <w:r>
        <w:rPr>
          <w:rStyle w:val="CharStyle3"/>
          <w:rFonts w:ascii="Arial" w:eastAsia="Arial" w:hAnsi="Arial" w:cs="Arial"/>
          <w:color w:val="404040"/>
          <w:sz w:val="12"/>
          <w:szCs w:val="12"/>
          <w:lang w:val="en-US" w:eastAsia="en-US"/>
        </w:rPr>
        <w:t>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Действителен с 30.09.2025 </w:t>
      </w:r>
      <w:r>
        <w:rPr>
          <w:rStyle w:val="CharStyle3"/>
          <w:rFonts w:ascii="Arial" w:eastAsia="Arial" w:hAnsi="Arial" w:cs="Arial"/>
          <w:color w:val="555555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>24.12.2026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2887980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3348355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3.64999999999998pt;margin-top:36.64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3308350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0.5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Т.Д. Аблаева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Кому </w:t>
      </w:r>
      <w:r>
        <w:rPr>
          <w:rStyle w:val="CharStyle3"/>
          <w:rFonts w:ascii="Arial" w:eastAsia="Arial" w:hAnsi="Arial" w:cs="Arial"/>
          <w:color w:val="555555"/>
          <w:sz w:val="12"/>
          <w:szCs w:val="12"/>
        </w:rPr>
        <w:t xml:space="preserve">выдан: </w:t>
      </w:r>
      <w:r>
        <w:rPr>
          <w:rStyle w:val="CharStyle3"/>
          <w:rFonts w:ascii="Arial" w:eastAsia="Arial" w:hAnsi="Arial" w:cs="Arial"/>
          <w:sz w:val="12"/>
          <w:szCs w:val="12"/>
        </w:rPr>
        <w:t>Аблаева Тамила Дамировна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04040"/>
          <w:sz w:val="12"/>
          <w:szCs w:val="12"/>
          <w:lang w:val="en-US" w:eastAsia="en-US"/>
        </w:rPr>
        <w:t>4733B3A7BE9AECCB64C56AF61AC4B24D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Действителен с 14.11.2025 </w:t>
      </w:r>
      <w:r>
        <w:rPr>
          <w:rStyle w:val="CharStyle3"/>
          <w:rFonts w:ascii="Arial" w:eastAsia="Arial" w:hAnsi="Arial" w:cs="Arial"/>
          <w:color w:val="555555"/>
          <w:sz w:val="12"/>
          <w:szCs w:val="12"/>
        </w:rPr>
        <w:t>по 07.02.2027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Э.С. Аджислямова</w:t>
      </w:r>
    </w:p>
    <w:p>
      <w:pPr>
        <w:widowControl w:val="0"/>
        <w:spacing w:line="1" w:lineRule="exact"/>
      </w:pPr>
      <w:r>
        <w:drawing>
          <wp:anchor distT="0" distB="0" distL="0" distR="1786255" simplePos="0" relativeHeight="125829386" behindDoc="0" locked="0" layoutInCell="1" allowOverlap="1">
            <wp:simplePos x="0" y="0"/>
            <wp:positionH relativeFrom="page">
              <wp:posOffset>2887980</wp:posOffset>
            </wp:positionH>
            <wp:positionV relativeFrom="paragraph">
              <wp:posOffset>0</wp:posOffset>
            </wp:positionV>
            <wp:extent cx="359410" cy="54229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3348355</wp:posOffset>
                </wp:positionH>
                <wp:positionV relativeFrom="paragraph">
                  <wp:posOffset>405130</wp:posOffset>
                </wp:positionV>
                <wp:extent cx="1283335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3.64999999999998pt;margin-top:31.900000000000002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3308350</wp:posOffset>
                </wp:positionH>
                <wp:positionV relativeFrom="paragraph">
                  <wp:posOffset>88265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0.5pt;margin-top:6.9500000000000002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46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 xml:space="preserve">Аджислямова Эльвина Сейтасановна </w:t>
      </w: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04040"/>
          <w:sz w:val="12"/>
          <w:szCs w:val="12"/>
          <w:lang w:val="en-US" w:eastAsia="en-US"/>
        </w:rPr>
        <w:t>00C475AD7EE6A067ACB6EA023E7079B93</w:t>
      </w:r>
      <w:r>
        <w:rPr>
          <w:rStyle w:val="CharStyle3"/>
          <w:rFonts w:ascii="Arial" w:eastAsia="Arial" w:hAnsi="Arial" w:cs="Arial"/>
          <w:color w:val="404040"/>
          <w:sz w:val="12"/>
          <w:szCs w:val="12"/>
          <w:lang w:val="en-US" w:eastAsia="en-US"/>
        </w:rPr>
        <w:t>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46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>Действителен с 20.10.2025 по 13.01.2027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5" w:bottom="7565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10010140</wp:posOffset>
              </wp:positionV>
              <wp:extent cx="65532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2026-5985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649999999999999pt;margin-top:788.20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2026-5985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2026-5985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70000000000005pt;width:51.6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2026-5985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687705</wp:posOffset>
              </wp:positionV>
              <wp:extent cx="76200" cy="698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8.65000000000003pt;margin-top:54.149999999999999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–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