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59" w:line="1" w:lineRule="exact"/>
      </w:pPr>
    </w:p>
    <w:p>
      <w:pPr>
        <w:pStyle w:val="Style5"/>
        <w:keepNext w:val="0"/>
        <w:keepLines w:val="0"/>
        <w:widowControl w:val="0"/>
        <w:shd w:val="clear" w:color="auto" w:fill="auto"/>
        <w:bidi w:val="0"/>
        <w:spacing w:before="0" w:line="288" w:lineRule="auto"/>
        <w:ind w:left="0" w:right="0" w:firstLine="0"/>
        <w:jc w:val="center"/>
        <w:rPr>
          <w:sz w:val="17"/>
          <w:szCs w:val="17"/>
        </w:rPr>
      </w:pPr>
      <w:r>
        <w:rPr>
          <w:rStyle w:val="CharStyle6"/>
          <w:b/>
          <w:bCs/>
          <w:sz w:val="17"/>
          <w:szCs w:val="17"/>
        </w:rPr>
        <w:t>ФЕДЕРАЛЬНАЯ</w:t>
        <w:br/>
        <w:t>АНТИМОНОПОЛЬНАЯ СЛУЖБА</w:t>
      </w:r>
    </w:p>
    <w:p>
      <w:pPr>
        <w:pStyle w:val="Style5"/>
        <w:keepNext w:val="0"/>
        <w:keepLines w:val="0"/>
        <w:widowControl w:val="0"/>
        <w:shd w:val="clear" w:color="auto" w:fill="auto"/>
        <w:bidi w:val="0"/>
        <w:spacing w:before="0"/>
        <w:ind w:left="0" w:right="0" w:firstLine="0"/>
        <w:jc w:val="center"/>
        <w:rPr>
          <w:sz w:val="17"/>
          <w:szCs w:val="17"/>
        </w:rPr>
      </w:pPr>
      <w:r>
        <w:rPr>
          <w:rStyle w:val="CharStyle6"/>
          <w:b/>
          <w:bCs/>
          <w:sz w:val="17"/>
          <w:szCs w:val="17"/>
        </w:rPr>
        <w:t>УПРАВЛЕНИЕ</w:t>
        <w:br/>
        <w:t>Федеральной антимонопольной службы</w:t>
        <w:br/>
        <w:t>по Красноярскому краю</w:t>
      </w:r>
    </w:p>
    <w:p>
      <w:pPr>
        <w:pStyle w:val="Style5"/>
        <w:keepNext w:val="0"/>
        <w:keepLines w:val="0"/>
        <w:widowControl w:val="0"/>
        <w:shd w:val="clear" w:color="auto" w:fill="auto"/>
        <w:bidi w:val="0"/>
        <w:spacing w:before="0" w:after="440"/>
        <w:ind w:left="0" w:right="0" w:firstLine="0"/>
        <w:jc w:val="center"/>
      </w:pPr>
      <w:r>
        <w:rPr>
          <w:rStyle w:val="CharStyle6"/>
        </w:rPr>
        <w:t>пр. Мира, 81 д, г. Красноярск, 660017</w:t>
        <w:br/>
        <w:t>тел. (391) 211-00-00, факс (391) 211-01-14</w:t>
        <w:br/>
      </w:r>
      <w:r>
        <w:rPr>
          <w:rStyle w:val="CharStyle6"/>
          <w:lang w:val="en-US" w:eastAsia="en-US"/>
        </w:rPr>
        <w:t xml:space="preserve">e-mail: </w:t>
      </w:r>
      <w:r>
        <w:fldChar w:fldCharType="begin"/>
      </w:r>
      <w:r>
        <w:rPr/>
        <w:instrText> HYPERLINK "mailto:to24@fas.gov.ru" </w:instrText>
      </w:r>
      <w:r>
        <w:fldChar w:fldCharType="separate"/>
      </w:r>
      <w:r>
        <w:rPr>
          <w:rStyle w:val="CharStyle6"/>
          <w:lang w:val="en-US" w:eastAsia="en-US"/>
        </w:rPr>
        <w:t>to24@fas.gov.ru</w:t>
      </w:r>
      <w:r>
        <w:fldChar w:fldCharType="end"/>
      </w:r>
    </w:p>
    <w:p>
      <w:pPr>
        <w:pStyle w:val="Style8"/>
        <w:keepNext w:val="0"/>
        <w:keepLines w:val="0"/>
        <w:widowControl w:val="0"/>
        <w:shd w:val="clear" w:color="auto" w:fill="auto"/>
        <w:tabs>
          <w:tab w:leader="underscore" w:pos="1766" w:val="left"/>
          <w:tab w:leader="underscore" w:pos="3926" w:val="left"/>
        </w:tabs>
        <w:bidi w:val="0"/>
        <w:spacing w:before="0"/>
        <w:ind w:left="0" w:right="0" w:firstLine="0"/>
        <w:jc w:val="both"/>
      </w:pPr>
      <w:r>
        <w:rPr>
          <w:rStyle w:val="CharStyle9"/>
        </w:rPr>
        <w:tab/>
        <w:t xml:space="preserve"> №</w:t>
        <w:tab/>
      </w:r>
    </w:p>
    <w:p>
      <w:pPr>
        <w:pStyle w:val="Style10"/>
        <w:keepNext w:val="0"/>
        <w:keepLines w:val="0"/>
        <w:widowControl w:val="0"/>
        <w:shd w:val="clear" w:color="auto" w:fill="auto"/>
        <w:bidi w:val="0"/>
        <w:spacing w:before="0" w:after="0"/>
        <w:ind w:left="0" w:right="0" w:firstLine="0"/>
        <w:jc w:val="left"/>
      </w:pPr>
      <w:r>
        <w:rPr>
          <w:rStyle w:val="CharStyle11"/>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pStyle w:val="Style12"/>
        <w:keepNext w:val="0"/>
        <w:keepLines w:val="0"/>
        <w:widowControl w:val="0"/>
        <w:shd w:val="clear" w:color="auto" w:fill="auto"/>
        <w:bidi w:val="0"/>
        <w:spacing w:before="0" w:after="0" w:line="240" w:lineRule="auto"/>
        <w:ind w:left="0" w:right="0" w:firstLine="0"/>
        <w:jc w:val="left"/>
      </w:pPr>
      <w:r>
        <w:rPr>
          <w:rStyle w:val="CharStyle13"/>
        </w:rPr>
        <w:t>ИП Кравченко А.В.</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ул. Деревенская, д. 17, д. Ляды, с.п. Рождественское, Гатчинский район, Ленинградская область, 188335 </w:t>
      </w:r>
      <w:r>
        <w:fldChar w:fldCharType="begin"/>
      </w:r>
      <w:r>
        <w:rPr/>
        <w:instrText> HYPERLINK "mailto:info@gosfarm.ru" </w:instrText>
      </w:r>
      <w:r>
        <w:fldChar w:fldCharType="separate"/>
      </w:r>
      <w:r>
        <w:rPr>
          <w:rStyle w:val="CharStyle13"/>
          <w:lang w:val="en-US" w:eastAsia="en-US"/>
        </w:rPr>
        <w:t>info@gosfarm.ru</w:t>
      </w:r>
      <w:r>
        <w:fldChar w:fldCharType="end"/>
      </w:r>
    </w:p>
    <w:p>
      <w:pPr>
        <w:pStyle w:val="Style12"/>
        <w:keepNext w:val="0"/>
        <w:keepLines w:val="0"/>
        <w:widowControl w:val="0"/>
        <w:shd w:val="clear" w:color="auto" w:fill="auto"/>
        <w:bidi w:val="0"/>
        <w:spacing w:before="0" w:after="0" w:line="240" w:lineRule="auto"/>
        <w:ind w:left="0" w:right="0" w:firstLine="0"/>
        <w:jc w:val="left"/>
      </w:pPr>
      <w:r>
        <w:rPr>
          <w:rStyle w:val="CharStyle13"/>
        </w:rPr>
        <w:t>Агентство государственного заказа Красноярского края</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пр-кт Мира, д. 10, оф. 53, г. Красноярск, 660049 </w:t>
      </w:r>
      <w:r>
        <w:fldChar w:fldCharType="begin"/>
      </w:r>
      <w:r>
        <w:rPr/>
        <w:instrText> HYPERLINK "mailto:agz_priem@mail.ru" </w:instrText>
      </w:r>
      <w:r>
        <w:fldChar w:fldCharType="separate"/>
      </w:r>
      <w:r>
        <w:rPr>
          <w:rStyle w:val="CharStyle13"/>
          <w:lang w:val="en-US" w:eastAsia="en-US"/>
        </w:rPr>
        <w:t>agz_priem@mail.ru</w:t>
      </w:r>
      <w:r>
        <w:fldChar w:fldCharType="end"/>
      </w:r>
      <w:r>
        <w:rPr>
          <w:rStyle w:val="CharStyle13"/>
          <w:lang w:val="en-US" w:eastAsia="en-US"/>
        </w:rPr>
        <w:t>;</w:t>
      </w:r>
    </w:p>
    <w:p>
      <w:pPr>
        <w:pStyle w:val="Style12"/>
        <w:keepNext w:val="0"/>
        <w:keepLines w:val="0"/>
        <w:widowControl w:val="0"/>
        <w:shd w:val="clear" w:color="auto" w:fill="auto"/>
        <w:bidi w:val="0"/>
        <w:spacing w:before="0" w:after="240" w:line="240" w:lineRule="auto"/>
        <w:ind w:left="0" w:right="0" w:firstLine="0"/>
        <w:jc w:val="left"/>
      </w:pPr>
      <w:r>
        <w:rPr>
          <w:rStyle w:val="CharStyle13"/>
        </w:rPr>
        <w:t xml:space="preserve">КГБУЗ «Красноярский краевой клинический онкологический диспансер имени А.И. Крыжановского» ул. 1-я Смоленская, д. 16, г. Красноярск, 660133 </w:t>
      </w:r>
      <w:r>
        <w:fldChar w:fldCharType="begin"/>
      </w:r>
      <w:r>
        <w:rPr/>
        <w:instrText> HYPERLINK "mailto:priem@onkolog24.ru" </w:instrText>
      </w:r>
      <w:r>
        <w:fldChar w:fldCharType="separate"/>
      </w:r>
      <w:r>
        <w:rPr>
          <w:rStyle w:val="CharStyle13"/>
          <w:lang w:val="en-US" w:eastAsia="en-US"/>
        </w:rPr>
        <w:t>priem@onkolog24.ru</w:t>
      </w:r>
      <w:r>
        <w:fldChar w:fldCharType="end"/>
      </w:r>
    </w:p>
    <w:p>
      <w:pPr>
        <w:pStyle w:val="Style12"/>
        <w:keepNext w:val="0"/>
        <w:keepLines w:val="0"/>
        <w:widowControl w:val="0"/>
        <w:shd w:val="clear" w:color="auto" w:fill="auto"/>
        <w:bidi w:val="0"/>
        <w:spacing w:before="0" w:after="0" w:line="240" w:lineRule="auto"/>
        <w:ind w:left="0" w:right="0" w:firstLine="0"/>
        <w:jc w:val="left"/>
        <w:sectPr>
          <w:footerReference w:type="default" r:id="rId9"/>
          <w:footerReference w:type="first" r:id="rId10"/>
          <w:footnotePr>
            <w:pos w:val="pageBottom"/>
            <w:numFmt w:val="decimal"/>
            <w:numRestart w:val="continuous"/>
          </w:footnotePr>
          <w:pgSz w:w="11900" w:h="16840"/>
          <w:pgMar w:top="279" w:right="613" w:bottom="1212" w:left="1135" w:header="0" w:footer="3" w:gutter="0"/>
          <w:pgNumType w:start="1"/>
          <w:cols w:num="2" w:space="1896"/>
          <w:noEndnote/>
          <w:titlePg/>
          <w:rtlGutter w:val="0"/>
          <w:docGrid w:linePitch="360"/>
        </w:sectPr>
      </w:pPr>
      <w:r>
        <w:rPr>
          <w:rStyle w:val="CharStyle13"/>
        </w:rPr>
        <w:t xml:space="preserve">ООО «ЭТП Газпромбанк» </w:t>
      </w:r>
      <w:r>
        <w:fldChar w:fldCharType="begin"/>
      </w:r>
      <w:r>
        <w:rPr/>
        <w:instrText> HYPERLINK "mailto:info@etpgpb.ru" </w:instrText>
      </w:r>
      <w:r>
        <w:fldChar w:fldCharType="separate"/>
      </w:r>
      <w:r>
        <w:rPr>
          <w:rStyle w:val="CharStyle13"/>
          <w:lang w:val="en-US" w:eastAsia="en-US"/>
        </w:rPr>
        <w:t>info@etpgpb.ru</w:t>
      </w:r>
      <w:r>
        <w:fldChar w:fldCharType="end"/>
      </w:r>
    </w:p>
    <w:p>
      <w:pPr>
        <w:widowControl w:val="0"/>
        <w:spacing w:line="160" w:lineRule="exact"/>
        <w:rPr>
          <w:sz w:val="13"/>
          <w:szCs w:val="13"/>
        </w:rPr>
      </w:pPr>
    </w:p>
    <w:p>
      <w:pPr>
        <w:widowControl w:val="0"/>
        <w:spacing w:line="1" w:lineRule="exact"/>
        <w:sectPr>
          <w:footnotePr>
            <w:pos w:val="pageBottom"/>
            <w:numFmt w:val="decimal"/>
            <w:numRestart w:val="continuous"/>
          </w:footnotePr>
          <w:type w:val="continuous"/>
          <w:pgSz w:w="11900" w:h="16840"/>
          <w:pgMar w:top="306" w:right="0" w:bottom="1186" w:left="0" w:header="0" w:footer="3" w:gutter="0"/>
          <w:cols w:space="720"/>
          <w:noEndnote/>
          <w:rtlGutter w:val="0"/>
          <w:docGrid w:linePitch="360"/>
        </w:sectPr>
      </w:pP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Решение № 024/06/105-1286/2026</w:t>
      </w:r>
    </w:p>
    <w:p>
      <w:pPr>
        <w:pStyle w:val="Style12"/>
        <w:keepNext w:val="0"/>
        <w:keepLines w:val="0"/>
        <w:widowControl w:val="0"/>
        <w:shd w:val="clear" w:color="auto" w:fill="auto"/>
        <w:tabs>
          <w:tab w:pos="8746" w:val="left"/>
        </w:tabs>
        <w:bidi w:val="0"/>
        <w:spacing w:before="0" w:after="240" w:line="240" w:lineRule="auto"/>
        <w:ind w:left="0" w:right="0" w:firstLine="0"/>
        <w:jc w:val="both"/>
      </w:pPr>
      <w:r>
        <w:rPr>
          <w:rStyle w:val="CharStyle13"/>
        </w:rPr>
        <w:t>28 апреля 2026 года</w:t>
        <w:tab/>
        <w:t>г. Красноярск</w:t>
      </w:r>
    </w:p>
    <w:p>
      <w:pPr>
        <w:pStyle w:val="Style12"/>
        <w:keepNext w:val="0"/>
        <w:keepLines w:val="0"/>
        <w:widowControl w:val="0"/>
        <w:shd w:val="clear" w:color="auto" w:fill="auto"/>
        <w:bidi w:val="0"/>
        <w:spacing w:before="0" w:after="0" w:line="240" w:lineRule="auto"/>
        <w:ind w:left="0" w:right="0" w:firstLine="740"/>
        <w:jc w:val="both"/>
      </w:pPr>
      <w:r>
        <w:rPr>
          <w:rStyle w:val="CharStyle13"/>
        </w:rPr>
        <w:t>Комиссия Красноярского УФАС России по контролю в сфере закупок в составе: Председатель Комиссии — Е.О. Хорышев, врио заместителя руководителя, члены Комиссии — К.С. Варава, заместитель начальника отдела, А.Р. Мулагалеев, старший государственный инспектор (далее — Комиссия), рассмотрев жалобу ИП Кравченко А.В. на действия Заказчика — КГБУЗ «Красноярский краевой клинический онкологический диспансер имени А.И. Крыжановского», уполномоченного органа — Агентства государственного заказа Красноярского края (далее — Уполномоченный орган) при проведении электронного аукциона ЭА-№-6509/26 «Оказание услуг по техническому обслуживанию, восстановлению работоспособного состояния и функционирования оборудования комплекса систем безопасности КГБУЗ КККОД им. А.И. Крыжановского», извещение 0119200000126006506 (далее — извещения); идентификационный код закупки 262246503513724650100102220018020244 на электронной торговой площадке ООО «ЭТП Газпромбанк» (далее — оператор электронной площадки), установила следующее.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Существо жалобы: составление извещения о проведении электронного аукциона с нарушением требований,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2"/>
        <w:keepNext w:val="0"/>
        <w:keepLines w:val="0"/>
        <w:widowControl w:val="0"/>
        <w:shd w:val="clear" w:color="auto" w:fill="auto"/>
        <w:bidi w:val="0"/>
        <w:spacing w:before="0" w:after="0" w:line="240" w:lineRule="auto"/>
        <w:ind w:left="0" w:right="0" w:firstLine="740"/>
        <w:jc w:val="both"/>
      </w:pPr>
      <w:r>
        <w:rPr>
          <w:rStyle w:val="CharStyle13"/>
        </w:rPr>
        <w:t>Жалоба соответствует требованиям частей 2 и 4 статьи 105 Закона о контрактной системе, в связи с чем была принята к рассмотрению по существу.</w:t>
      </w:r>
    </w:p>
    <w:p>
      <w:pPr>
        <w:pStyle w:val="Style12"/>
        <w:keepNext w:val="0"/>
        <w:keepLines w:val="0"/>
        <w:widowControl w:val="0"/>
        <w:shd w:val="clear" w:color="auto" w:fill="auto"/>
        <w:bidi w:val="0"/>
        <w:spacing w:before="0" w:after="0" w:line="240" w:lineRule="auto"/>
        <w:ind w:left="0" w:right="0" w:firstLine="740"/>
        <w:jc w:val="both"/>
      </w:pPr>
      <w:r>
        <w:rPr>
          <w:rStyle w:val="CharStyle13"/>
        </w:rPr>
        <w:t>В адрес подателя жалобы, заказчика, уполномоченного органа было направлено уведомление о содержании жалобы с информацией о месте и времени ее рассмотрения.</w:t>
      </w:r>
    </w:p>
    <w:p>
      <w:pPr>
        <w:pStyle w:val="Style12"/>
        <w:keepNext w:val="0"/>
        <w:keepLines w:val="0"/>
        <w:widowControl w:val="0"/>
        <w:shd w:val="clear" w:color="auto" w:fill="auto"/>
        <w:bidi w:val="0"/>
        <w:spacing w:before="0" w:after="440" w:line="240" w:lineRule="auto"/>
        <w:ind w:left="0" w:right="0" w:firstLine="740"/>
        <w:jc w:val="both"/>
      </w:pPr>
      <w:r>
        <w:rPr>
          <w:rStyle w:val="CharStyle13"/>
        </w:rPr>
        <w:t>Уведомление также было размещено на официальном сайте ЕИС, что считается надлежащим уведомлением о дате и времени заседания Комиссии.</w:t>
      </w:r>
    </w:p>
    <w:p>
      <w:pPr>
        <w:pStyle w:val="Style14"/>
        <w:keepNext/>
        <w:keepLines/>
        <w:widowControl w:val="0"/>
        <w:shd w:val="clear" w:color="auto" w:fill="auto"/>
        <w:bidi w:val="0"/>
        <w:spacing w:before="0" w:line="240" w:lineRule="auto"/>
        <w:ind w:left="0" w:right="0" w:firstLine="0"/>
        <w:jc w:val="both"/>
      </w:pPr>
      <w:bookmarkStart w:id="0" w:name="bookmark0"/>
      <w:r>
        <w:rPr>
          <w:rStyle w:val="CharStyle15"/>
        </w:rPr>
        <w:t>IIIIIIIIIIIIIIIIIIIIIIII</w:t>
      </w:r>
      <w:bookmarkEnd w:id="0"/>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жалобой подателем жалобы было заявлено ходатайство о проведении рассмотрения жалобы посредством видеоконференцсвязи в будний день не ранее </w:t>
      </w:r>
      <w:r>
        <w:rPr>
          <w:rStyle w:val="CharStyle13"/>
          <w:lang w:val="en-US" w:eastAsia="en-US"/>
        </w:rPr>
        <w:t xml:space="preserve">14:00 </w:t>
      </w:r>
      <w:r>
        <w:rPr>
          <w:rStyle w:val="CharStyle13"/>
        </w:rPr>
        <w:t xml:space="preserve">и не позднее </w:t>
      </w:r>
      <w:r>
        <w:rPr>
          <w:rStyle w:val="CharStyle13"/>
          <w:lang w:val="en-US" w:eastAsia="en-US"/>
        </w:rPr>
        <w:t xml:space="preserve">15:00 </w:t>
      </w:r>
      <w:r>
        <w:rPr>
          <w:rStyle w:val="CharStyle13"/>
        </w:rPr>
        <w:t>по московскому времени.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Ходатайство было удовлетворено в части предоставления возможности участия в рассмотрении жалобы посредством видео-конференц-связи.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части переноса времени рассмотрения жалобы в удовлетворении ходатайства было отказано в связи с тем, что в указываемый период с </w:t>
      </w:r>
      <w:r>
        <w:rPr>
          <w:rStyle w:val="CharStyle13"/>
          <w:lang w:val="en-US" w:eastAsia="en-US"/>
        </w:rPr>
        <w:t xml:space="preserve">14:00 </w:t>
      </w:r>
      <w:r>
        <w:rPr>
          <w:rStyle w:val="CharStyle13"/>
        </w:rPr>
        <w:t xml:space="preserve">по </w:t>
      </w:r>
      <w:r>
        <w:rPr>
          <w:rStyle w:val="CharStyle13"/>
          <w:lang w:val="en-US" w:eastAsia="en-US"/>
        </w:rPr>
        <w:t xml:space="preserve">15:00 </w:t>
      </w:r>
      <w:r>
        <w:rPr>
          <w:rStyle w:val="CharStyle13"/>
        </w:rPr>
        <w:t>по московскому времени рассмотрение жалобы по существу невозможно ввиду того, что указанный временной период находится за рамками режима рабочего времени Красноярского УФАС России.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Заседание Комиссии по рассмотрению жалобы по существу, состоялось </w:t>
      </w:r>
      <w:r>
        <w:rPr>
          <w:rStyle w:val="CharStyle13"/>
          <w:lang w:val="en-US" w:eastAsia="en-US"/>
        </w:rPr>
        <w:t xml:space="preserve">28.04.2026 </w:t>
      </w:r>
      <w:r>
        <w:rPr>
          <w:rStyle w:val="CharStyle13"/>
        </w:rPr>
        <w:t xml:space="preserve">в </w:t>
      </w:r>
      <w:r>
        <w:rPr>
          <w:rStyle w:val="CharStyle13"/>
          <w:lang w:val="en-US" w:eastAsia="en-US"/>
        </w:rPr>
        <w:t xml:space="preserve">08 </w:t>
      </w:r>
      <w:r>
        <w:rPr>
          <w:rStyle w:val="CharStyle13"/>
        </w:rPr>
        <w:t xml:space="preserve">часов </w:t>
      </w:r>
      <w:r>
        <w:rPr>
          <w:rStyle w:val="CharStyle13"/>
          <w:lang w:val="en-US" w:eastAsia="en-US"/>
        </w:rPr>
        <w:t xml:space="preserve">00 </w:t>
      </w:r>
      <w:r>
        <w:rPr>
          <w:rStyle w:val="CharStyle13"/>
        </w:rPr>
        <w:t>минут (время местное). Представитель Подателя жалобы на заседание Комиссии не явился.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руководствуясь статьей </w:t>
      </w:r>
      <w:r>
        <w:rPr>
          <w:rStyle w:val="CharStyle13"/>
          <w:lang w:val="en-US" w:eastAsia="en-US"/>
        </w:rPr>
        <w:t xml:space="preserve">99 </w:t>
      </w:r>
      <w:r>
        <w:rPr>
          <w:rStyle w:val="CharStyle13"/>
        </w:rPr>
        <w:t>Закона о контрактной системе, провела внеплановую проверку соблюдения субъектами контроля законов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доводов жалобы следует, что, по мнению подателя жалобы, заказчиком допущены следующие нарушения Закона о контрактной системе:</w:t>
      </w:r>
    </w:p>
    <w:p>
      <w:pPr>
        <w:pStyle w:val="Style12"/>
        <w:keepNext w:val="0"/>
        <w:keepLines w:val="0"/>
        <w:widowControl w:val="0"/>
        <w:numPr>
          <w:ilvl w:val="0"/>
          <w:numId w:val="1"/>
        </w:numPr>
        <w:shd w:val="clear" w:color="auto" w:fill="auto"/>
        <w:tabs>
          <w:tab w:pos="1062" w:val="left"/>
        </w:tabs>
        <w:bidi w:val="0"/>
        <w:spacing w:before="0" w:after="0" w:line="240" w:lineRule="auto"/>
        <w:ind w:left="0" w:right="0" w:firstLine="720"/>
        <w:jc w:val="both"/>
      </w:pPr>
      <w:r>
        <w:rPr>
          <w:rStyle w:val="CharStyle13"/>
        </w:rPr>
        <w:t>заказчиком при формировании объекта закупки не выбрана позиция КТРУ;</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Правительства Российской Федерации от </w:t>
      </w:r>
      <w:r>
        <w:rPr>
          <w:rStyle w:val="CharStyle13"/>
          <w:lang w:val="en-US" w:eastAsia="en-US"/>
        </w:rPr>
        <w:t xml:space="preserve">10.07.2019 № 878 </w:t>
      </w:r>
      <w:r>
        <w:rPr>
          <w:rStyle w:val="CharStyle13"/>
        </w:rPr>
        <w:t xml:space="preserve">«О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w:t>
      </w:r>
      <w:r>
        <w:rPr>
          <w:rStyle w:val="CharStyle13"/>
          <w:lang w:val="en-US" w:eastAsia="en-US"/>
        </w:rPr>
        <w:t xml:space="preserve">16 </w:t>
      </w:r>
      <w:r>
        <w:rPr>
          <w:rStyle w:val="CharStyle13"/>
        </w:rPr>
        <w:t xml:space="preserve">сентября </w:t>
      </w:r>
      <w:r>
        <w:rPr>
          <w:rStyle w:val="CharStyle13"/>
          <w:lang w:val="en-US" w:eastAsia="en-US"/>
        </w:rPr>
        <w:t xml:space="preserve">2016 </w:t>
      </w:r>
      <w:r>
        <w:rPr>
          <w:rStyle w:val="CharStyle13"/>
        </w:rPr>
        <w:t xml:space="preserve">г. </w:t>
      </w:r>
      <w:r>
        <w:rPr>
          <w:rStyle w:val="CharStyle13"/>
          <w:lang w:val="en-US" w:eastAsia="en-US"/>
        </w:rPr>
        <w:t xml:space="preserve">№ 925 </w:t>
      </w:r>
      <w:r>
        <w:rPr>
          <w:rStyle w:val="CharStyle13"/>
        </w:rPr>
        <w:t xml:space="preserve">и признании утратившими силу некоторых актов Правительства Российской Федерации»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878) </w:t>
      </w:r>
      <w:r>
        <w:rPr>
          <w:rStyle w:val="CharStyle13"/>
        </w:rPr>
        <w:t xml:space="preserve">и по Постановлению Правительства Российской Федерации от </w:t>
      </w:r>
      <w:r>
        <w:rPr>
          <w:rStyle w:val="CharStyle13"/>
          <w:lang w:val="en-US" w:eastAsia="en-US"/>
        </w:rPr>
        <w:t xml:space="preserve">12.02.2020 № 126 </w:t>
      </w:r>
      <w:r>
        <w:rPr>
          <w:rStyle w:val="CharStyle13"/>
        </w:rPr>
        <w:t xml:space="preserve">«Об установке, эксплуатации и о модернизации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(далее </w:t>
      </w:r>
      <w:r>
        <w:rPr>
          <w:rStyle w:val="CharStyle13"/>
          <w:lang w:val="en-US" w:eastAsia="en-US"/>
        </w:rPr>
        <w:t xml:space="preserve">— </w:t>
      </w:r>
      <w:r>
        <w:rPr>
          <w:rStyle w:val="CharStyle13"/>
        </w:rPr>
        <w:t xml:space="preserve">Постановление </w:t>
      </w:r>
      <w:r>
        <w:rPr>
          <w:rStyle w:val="CharStyle13"/>
          <w:lang w:val="en-US" w:eastAsia="en-US"/>
        </w:rPr>
        <w:t>№ 126);</w:t>
      </w:r>
    </w:p>
    <w:p>
      <w:pPr>
        <w:pStyle w:val="Style12"/>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rStyle w:val="CharStyle13"/>
        </w:rPr>
        <w:t xml:space="preserve">заказчиком не применены ограничения по Постановлению Правительства Российской Федерации от </w:t>
      </w:r>
      <w:r>
        <w:rPr>
          <w:rStyle w:val="CharStyle13"/>
          <w:lang w:val="en-US" w:eastAsia="en-US"/>
        </w:rPr>
        <w:t xml:space="preserve">23.12.2024 № 1875 </w:t>
      </w:r>
      <w:r>
        <w:rPr>
          <w:rStyle w:val="CharStyle13"/>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3"/>
          <w:lang w:val="en-US" w:eastAsia="en-US"/>
        </w:rPr>
        <w:t xml:space="preserve">— </w:t>
      </w:r>
      <w:r>
        <w:rPr>
          <w:rStyle w:val="CharStyle13"/>
        </w:rPr>
        <w:t xml:space="preserve">Постановление </w:t>
      </w:r>
      <w:r>
        <w:rPr>
          <w:rStyle w:val="CharStyle13"/>
          <w:lang w:val="en-US" w:eastAsia="en-US"/>
        </w:rPr>
        <w:t>№ 1875);</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заказчик описал объект закупки таким образом, что ему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в Техническом задании указаны характеристики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заказчик неправомерно не применил положения Постановления Правительства Российской Федерации от </w:t>
      </w:r>
      <w:r>
        <w:rPr>
          <w:rStyle w:val="CharStyle13"/>
          <w:lang w:val="en-US" w:eastAsia="en-US"/>
        </w:rPr>
        <w:t xml:space="preserve">16.11.2015 № 1236 </w:t>
      </w:r>
      <w:r>
        <w:rPr>
          <w:rStyle w:val="CharStyle13"/>
        </w:rPr>
        <w:t xml:space="preserve">«Об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 (далее </w:t>
      </w:r>
      <w:r>
        <w:rPr>
          <w:rStyle w:val="CharStyle13"/>
          <w:lang w:val="en-US" w:eastAsia="en-US"/>
        </w:rPr>
        <w:t xml:space="preserve">— </w:t>
      </w:r>
      <w:r>
        <w:rPr>
          <w:rStyle w:val="CharStyle13"/>
        </w:rPr>
        <w:t xml:space="preserve">Постановление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numPr>
          <w:ilvl w:val="0"/>
          <w:numId w:val="1"/>
        </w:numPr>
        <w:shd w:val="clear" w:color="auto" w:fill="auto"/>
        <w:tabs>
          <w:tab w:pos="1052" w:val="left"/>
        </w:tabs>
        <w:bidi w:val="0"/>
        <w:spacing w:before="0" w:after="0" w:line="240" w:lineRule="auto"/>
        <w:ind w:left="0" w:right="0" w:firstLine="720"/>
        <w:jc w:val="both"/>
      </w:pPr>
      <w:r>
        <w:rPr>
          <w:rStyle w:val="CharStyle13"/>
        </w:rPr>
        <w:t xml:space="preserve">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numPr>
          <w:ilvl w:val="0"/>
          <w:numId w:val="1"/>
        </w:numPr>
        <w:shd w:val="clear" w:color="auto" w:fill="auto"/>
        <w:tabs>
          <w:tab w:pos="1047" w:val="left"/>
        </w:tabs>
        <w:bidi w:val="0"/>
        <w:spacing w:before="0" w:after="0" w:line="240" w:lineRule="auto"/>
        <w:ind w:left="0" w:right="0" w:firstLine="720"/>
        <w:jc w:val="both"/>
      </w:pPr>
      <w:r>
        <w:rPr>
          <w:rStyle w:val="CharStyle13"/>
        </w:rPr>
        <w:t>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конкуренции и нарушение требований Федерального закона от </w:t>
      </w:r>
      <w:r>
        <w:rPr>
          <w:rStyle w:val="CharStyle13"/>
          <w:lang w:val="en-US" w:eastAsia="en-US"/>
        </w:rPr>
        <w:t xml:space="preserve">26.07.2006 № </w:t>
      </w:r>
      <w:r>
        <w:rPr>
          <w:rStyle w:val="CharStyle13"/>
        </w:rPr>
        <w:t xml:space="preserve">135-ФЗ «О защите конкуренции» (далее </w:t>
      </w:r>
      <w:r>
        <w:rPr>
          <w:rStyle w:val="CharStyle13"/>
          <w:lang w:val="en-US" w:eastAsia="en-US"/>
        </w:rPr>
        <w:t xml:space="preserve">— </w:t>
      </w:r>
      <w:r>
        <w:rPr>
          <w:rStyle w:val="CharStyle13"/>
        </w:rPr>
        <w:t>Закон о защите конкуренции).</w:t>
      </w:r>
    </w:p>
    <w:p>
      <w:pPr>
        <w:pStyle w:val="Style12"/>
        <w:keepNext w:val="0"/>
        <w:keepLines w:val="0"/>
        <w:widowControl w:val="0"/>
        <w:numPr>
          <w:ilvl w:val="0"/>
          <w:numId w:val="1"/>
        </w:numPr>
        <w:shd w:val="clear" w:color="auto" w:fill="auto"/>
        <w:tabs>
          <w:tab w:pos="1134" w:val="left"/>
        </w:tabs>
        <w:bidi w:val="0"/>
        <w:spacing w:before="0" w:after="0" w:line="240" w:lineRule="auto"/>
        <w:ind w:left="0" w:right="0" w:firstLine="720"/>
        <w:jc w:val="both"/>
      </w:pPr>
      <w:r>
        <w:rPr>
          <w:rStyle w:val="CharStyle13"/>
        </w:rPr>
        <w:t>заказчиком к извещению об осуществлении закупки не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numPr>
          <w:ilvl w:val="0"/>
          <w:numId w:val="1"/>
        </w:numPr>
        <w:shd w:val="clear" w:color="auto" w:fill="auto"/>
        <w:tabs>
          <w:tab w:pos="1167" w:val="left"/>
        </w:tabs>
        <w:bidi w:val="0"/>
        <w:spacing w:before="0" w:after="0" w:line="240" w:lineRule="auto"/>
        <w:ind w:left="0" w:right="0" w:firstLine="720"/>
        <w:jc w:val="both"/>
      </w:pPr>
      <w:r>
        <w:rPr>
          <w:rStyle w:val="CharStyle13"/>
        </w:rPr>
        <w:t>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ЛПУ, в связи с чем невозможно рассчитать себестоимость поставки оборудования;</w:t>
      </w:r>
    </w:p>
    <w:p>
      <w:pPr>
        <w:pStyle w:val="Style12"/>
        <w:keepNext w:val="0"/>
        <w:keepLines w:val="0"/>
        <w:widowControl w:val="0"/>
        <w:numPr>
          <w:ilvl w:val="0"/>
          <w:numId w:val="1"/>
        </w:numPr>
        <w:shd w:val="clear" w:color="auto" w:fill="auto"/>
        <w:tabs>
          <w:tab w:pos="1158"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numPr>
          <w:ilvl w:val="0"/>
          <w:numId w:val="1"/>
        </w:numPr>
        <w:shd w:val="clear" w:color="auto" w:fill="auto"/>
        <w:tabs>
          <w:tab w:pos="1177" w:val="left"/>
        </w:tabs>
        <w:bidi w:val="0"/>
        <w:spacing w:before="0" w:after="0" w:line="240" w:lineRule="auto"/>
        <w:ind w:left="0" w:right="0" w:firstLine="720"/>
        <w:jc w:val="both"/>
      </w:pPr>
      <w:r>
        <w:rPr>
          <w:rStyle w:val="CharStyle13"/>
        </w:rPr>
        <w:t>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numPr>
          <w:ilvl w:val="0"/>
          <w:numId w:val="1"/>
        </w:numPr>
        <w:shd w:val="clear" w:color="auto" w:fill="auto"/>
        <w:tabs>
          <w:tab w:pos="1167"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Податель жалобы ходатайствовал об истребовании у заказчика запросов российским производителям (находящимся в реестре радиоэлектронной продукции), полученных коммерческих предложений для обоснования начальной (максимальной) цены контракта,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Комиссия отмечает, что ходатайство подателя жалобы об истребовании у Заказчика оригиналов запросов российским производителям (минимум двум, находящимся в реестре радиоэлектронной продукции) и оригинал уведомления о вручении запроса Почты России на физическом бумажном носителе, полученные коммерческие предложения для обоснования НМЦК сравнительную таблицу, ответы производителей о соответствии требованиям описания объекта закупки удовлетворено в части, необходимой для рассмотрения жалобы по существу. Уведомлением Красноярским УФАС России у заказчика, уполномоченного органа запрошены пояснения по доводам, изложенным в жалобе, копии документов, подтверждающих утверждение положений извещения о закупке, копии коммерческих предложений и их запросы, сведения о товарах, характеристики эквивалентности которых соответствуют характеристикам объекта закупки (таблица эквивалентности), копии документов о создании комиссии по осуществлению закупок, копии документов о назначении ответственных за размещение информации и документов в единой информационной системе. При этом в целях рассмотрения жалобы по существу, а также проведения внеплановой проверки отсутствует необходимость предоставления оригиналов запросов российским производителям (минимум двум, находящимся в реестре радиоэлектронной продукции) и оригинала уведомления о вручении запроса Почты России на физическом бумажном носителе, поскольку Комиссия не проверяет обоснование начальной (максимальной) цены контракта ввиду отсутствия на то предоставленных законом полномочий.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этой связи Комиссия не усмотрела оснований для удовлетворения ходатайства подателя жалобы об истребовании у заказчика запросов российским производителям (минимум двум находящимся в реестре радиоэлектронной продукции) о наличии/отсутствии у них оборудования с требуемыми заказчику характеристиками, поскольку такие доказательства не имеют и не могут иметь правового значения при рассмотрении Комиссией действий заказчика, выразившихся в формировании описания объекта закупки в извещении об осуществлении закупки, а равно иных положений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Также податель жалобы ходатайствовал о привлечении заказчика к административной ответственности за несвоевременное представление информации и документов в адрес антимонопольного органа.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Вместе с тем, относительно заявленного ходатайства подателя жалобы о привлечении заказчика к административной ответственности за несвоевременное представление информации и</w:t>
      </w:r>
    </w:p>
    <w:p>
      <w:pPr>
        <w:pStyle w:val="Style12"/>
        <w:keepNext w:val="0"/>
        <w:keepLines w:val="0"/>
        <w:widowControl w:val="0"/>
        <w:shd w:val="clear" w:color="auto" w:fill="auto"/>
        <w:bidi w:val="0"/>
        <w:spacing w:before="0" w:after="0" w:line="240" w:lineRule="auto"/>
        <w:ind w:left="0" w:right="0" w:firstLine="0"/>
        <w:jc w:val="both"/>
      </w:pPr>
      <w:r>
        <w:rPr>
          <w:rStyle w:val="CharStyle13"/>
        </w:rPr>
        <w:t>документов в адрес антимонопольного органа, Комиссия отмечает, что указанное ходатайство не подлежит удовлетворению, так как заказчиком в адрес Красноярского УФАС России своевременно представлена информация и документация, запрошенная ранее антимонопольным органом.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были представлены письменные возражения с приложением подтверждающих документов в отношении доводов жалобы, из которых следует, что извещение об осуществлении закупки составлено в соответствии с требованиями Закона о контрактной системе, исходя из фактической потребности заказчика с учетом содержания позиции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ходатайства подателя жалобы о передаче материалов и довода жалобы в орган внутреннего государственного (муниципального) финансового контроля для проведения проверки обоснования начальной (максимальной) цены контракта и продлении сроков рассмотрения антимонопольным органом жалобы по существу, исходя из результатов указанной проверки Комиссия считает необходимым сообщить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положений статьи </w:t>
      </w:r>
      <w:r>
        <w:rPr>
          <w:rStyle w:val="CharStyle13"/>
          <w:lang w:val="en-US" w:eastAsia="en-US"/>
        </w:rPr>
        <w:t xml:space="preserve">99 </w:t>
      </w:r>
      <w:r>
        <w:rPr>
          <w:rStyle w:val="CharStyle13"/>
        </w:rPr>
        <w:t>Закона о контрактной системе следует, что федеральный орган исполнительной власти, уполномоченный на осуществление контроля в сфере закупок (ФАС России и ее территориальные органы), наделен полномочиями на осуществление контроля за действиями субъектов контроля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осуществлении закупки заказчик на основании статьи </w:t>
      </w:r>
      <w:r>
        <w:rPr>
          <w:rStyle w:val="CharStyle13"/>
          <w:lang w:val="en-US" w:eastAsia="en-US"/>
        </w:rPr>
        <w:t xml:space="preserve">22, </w:t>
      </w:r>
      <w:r>
        <w:rPr>
          <w:rStyle w:val="CharStyle13"/>
        </w:rPr>
        <w:t xml:space="preserve">частей </w:t>
      </w:r>
      <w:r>
        <w:rPr>
          <w:rStyle w:val="CharStyle13"/>
          <w:lang w:val="en-US" w:eastAsia="en-US"/>
        </w:rPr>
        <w:t xml:space="preserve">1, 2 </w:t>
      </w:r>
      <w:r>
        <w:rPr>
          <w:rStyle w:val="CharStyle13"/>
        </w:rPr>
        <w:t xml:space="preserve">статьи </w:t>
      </w:r>
      <w:r>
        <w:rPr>
          <w:rStyle w:val="CharStyle13"/>
          <w:lang w:val="en-US" w:eastAsia="en-US"/>
        </w:rPr>
        <w:t xml:space="preserve">42 </w:t>
      </w:r>
      <w:r>
        <w:rPr>
          <w:rStyle w:val="CharStyle13"/>
        </w:rPr>
        <w:t>Закона о контрактной системе формирует и размещает в единой информационной системе извещение об осуществлении закупки, содержащее, в том числе, обоснование начальной (максимальной) цены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Проанализировав извещение о проведении закупки, Комиссия в пределах полномочий установила, что такое извещение содержит, в том числе, начальную (максимальную) цену контракта, а также ее обоснование, что само по себе не противоречит требованиям законодательства о контрактной системе в сфере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в силу части </w:t>
      </w:r>
      <w:r>
        <w:rPr>
          <w:rStyle w:val="CharStyle13"/>
          <w:lang w:val="en-US" w:eastAsia="en-US"/>
        </w:rPr>
        <w:t xml:space="preserve">8 </w:t>
      </w:r>
      <w:r>
        <w:rPr>
          <w:rStyle w:val="CharStyle13"/>
        </w:rPr>
        <w:t xml:space="preserve">статьи </w:t>
      </w:r>
      <w:r>
        <w:rPr>
          <w:rStyle w:val="CharStyle13"/>
          <w:lang w:val="en-US" w:eastAsia="en-US"/>
        </w:rPr>
        <w:t xml:space="preserve">99 </w:t>
      </w:r>
      <w:r>
        <w:rPr>
          <w:rStyle w:val="CharStyle13"/>
        </w:rPr>
        <w:t>Закона о контрактной системе контроль за определением и обоснованием начальной (максимальной) цены контракта уполномочены осуществлять органы внутреннего государственного (муниципального) финансового контроля.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Следовательно, Красноярское УФАС России, действующее в соответствии с положением о территориальном органе Федеральной антимонопольной службы, утвержденным Приказом ФАС России от </w:t>
      </w:r>
      <w:r>
        <w:rPr>
          <w:rStyle w:val="CharStyle13"/>
          <w:lang w:val="en-US" w:eastAsia="en-US"/>
        </w:rPr>
        <w:t xml:space="preserve">23.07.2015 № 649/15, </w:t>
      </w:r>
      <w:r>
        <w:rPr>
          <w:rStyle w:val="CharStyle13"/>
        </w:rPr>
        <w:t xml:space="preserve">с учетом содержания статьи </w:t>
      </w:r>
      <w:r>
        <w:rPr>
          <w:rStyle w:val="CharStyle13"/>
          <w:lang w:val="en-US" w:eastAsia="en-US"/>
        </w:rPr>
        <w:t xml:space="preserve">99 </w:t>
      </w:r>
      <w:r>
        <w:rPr>
          <w:rStyle w:val="CharStyle13"/>
        </w:rPr>
        <w:t>Закона о контрактной системе не наделено полномочиями по осуществлению контроля за действиями заказчика при определении и обосновании им начальной (максимальной) цены контракта, заключаемого по результатам проведения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Комиссия считает необходимым направить в рассматриваемой части жалобу в адрес Службы финансового и экономического контроля и контроля в сфере закупок Красноярского края для рассмотрения по существу.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Рассмотрев существо жалобы,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w:t>
      </w:r>
      <w:r>
        <w:rPr>
          <w:rStyle w:val="CharStyle13"/>
          <w:lang w:val="en-US" w:eastAsia="en-US"/>
        </w:rPr>
        <w:t xml:space="preserve">— </w:t>
      </w:r>
      <w:r>
        <w:rPr>
          <w:rStyle w:val="CharStyle13"/>
        </w:rPr>
        <w:t>ЕИС), проанализировав нормы позитивного права, регулирующие рассматриваемые правоотношения, проведя внеплановую проверку определения поставщика (подрядчика, исполнителя) на предмет соответствия требованиям законодательства Российской Федерации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возникшей у заказчика потребностью уполномоченным органом были совершены действия по проведению электронного аукциона.</w:t>
      </w:r>
    </w:p>
    <w:p>
      <w:pPr>
        <w:pStyle w:val="Style12"/>
        <w:keepNext w:val="0"/>
        <w:keepLines w:val="0"/>
        <w:widowControl w:val="0"/>
        <w:numPr>
          <w:ilvl w:val="0"/>
          <w:numId w:val="3"/>
        </w:numPr>
        <w:shd w:val="clear" w:color="auto" w:fill="auto"/>
        <w:tabs>
          <w:tab w:pos="1047" w:val="left"/>
        </w:tabs>
        <w:bidi w:val="0"/>
        <w:spacing w:before="0" w:after="0" w:line="240" w:lineRule="auto"/>
        <w:ind w:left="0" w:right="0" w:firstLine="720"/>
        <w:jc w:val="both"/>
      </w:pPr>
      <w:r>
        <w:rPr>
          <w:rStyle w:val="CharStyle13"/>
        </w:rPr>
        <w:t>По мнению подателя жалобы, заказчиком при формировании объекта закупки не выбрана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2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следует необходимость использования заказчиком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2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описание объекта закупки в соответствии с требованиями, указанными в 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Закона о контактной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объекта закупки;</w:t>
      </w:r>
    </w:p>
    <w:p>
      <w:pPr>
        <w:pStyle w:val="Style12"/>
        <w:keepNext w:val="0"/>
        <w:keepLines w:val="0"/>
        <w:widowControl w:val="0"/>
        <w:numPr>
          <w:ilvl w:val="0"/>
          <w:numId w:val="5"/>
        </w:numPr>
        <w:shd w:val="clear" w:color="auto" w:fill="auto"/>
        <w:tabs>
          <w:tab w:pos="932" w:val="left"/>
        </w:tabs>
        <w:bidi w:val="0"/>
        <w:spacing w:before="0" w:after="0" w:line="240" w:lineRule="auto"/>
        <w:ind w:left="0" w:right="0" w:firstLine="720"/>
        <w:jc w:val="both"/>
      </w:pPr>
      <w:r>
        <w:rPr>
          <w:rStyle w:val="CharStyle13"/>
        </w:rPr>
        <w:t xml:space="preserve">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Часть </w:t>
      </w:r>
      <w:r>
        <w:rPr>
          <w:rStyle w:val="CharStyle13"/>
          <w:lang w:val="en-US" w:eastAsia="en-US"/>
        </w:rPr>
        <w:t xml:space="preserve">6 </w:t>
      </w:r>
      <w:r>
        <w:rPr>
          <w:rStyle w:val="CharStyle13"/>
        </w:rPr>
        <w:t xml:space="preserve">статьи </w:t>
      </w:r>
      <w:r>
        <w:rPr>
          <w:rStyle w:val="CharStyle13"/>
          <w:lang w:val="en-US" w:eastAsia="en-US"/>
        </w:rPr>
        <w:t xml:space="preserve">23 </w:t>
      </w:r>
      <w:r>
        <w:rPr>
          <w:rStyle w:val="CharStyle13"/>
        </w:rPr>
        <w:t xml:space="preserve">Закона о контрактной системе устанавливает,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(далее </w:t>
      </w:r>
      <w:r>
        <w:rPr>
          <w:rStyle w:val="CharStyle13"/>
          <w:lang w:val="en-US" w:eastAsia="en-US"/>
        </w:rPr>
        <w:t xml:space="preserve">— </w:t>
      </w:r>
      <w:r>
        <w:rPr>
          <w:rStyle w:val="CharStyle13"/>
        </w:rPr>
        <w:t xml:space="preserve">Правила формирования формирования КТРУ) а также правила использования указанного каталога (далее </w:t>
      </w:r>
      <w:r>
        <w:rPr>
          <w:rStyle w:val="CharStyle13"/>
          <w:lang w:val="en-US" w:eastAsia="en-US"/>
        </w:rPr>
        <w:t xml:space="preserve">— </w:t>
      </w:r>
      <w:r>
        <w:rPr>
          <w:rStyle w:val="CharStyle13"/>
        </w:rPr>
        <w:t>Правила использования КТРУ)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Правила формирования КТРУ и Правила использования КТРУ утверждены постановлением Правительства Российской Федерации от </w:t>
      </w:r>
      <w:r>
        <w:rPr>
          <w:rStyle w:val="CharStyle13"/>
          <w:lang w:val="en-US" w:eastAsia="en-US"/>
        </w:rPr>
        <w:t xml:space="preserve">08.02.2017 № 145 </w:t>
      </w:r>
      <w:r>
        <w:rPr>
          <w:rStyle w:val="CharStyle13"/>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Из пункта </w:t>
      </w:r>
      <w:r>
        <w:rPr>
          <w:rStyle w:val="CharStyle13"/>
          <w:lang w:val="en-US" w:eastAsia="en-US"/>
        </w:rPr>
        <w:t xml:space="preserve">4 </w:t>
      </w:r>
      <w:r>
        <w:rPr>
          <w:rStyle w:val="CharStyle13"/>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3"/>
          <w:lang w:val="en-US" w:eastAsia="en-US"/>
        </w:rPr>
        <w:t xml:space="preserve">- </w:t>
      </w:r>
      <w:r>
        <w:rPr>
          <w:rStyle w:val="CharStyle13"/>
        </w:rPr>
        <w:t xml:space="preserve">«г» и «е» </w:t>
      </w:r>
      <w:r>
        <w:rPr>
          <w:rStyle w:val="CharStyle13"/>
          <w:lang w:val="en-US" w:eastAsia="en-US"/>
        </w:rPr>
        <w:t xml:space="preserve">- </w:t>
      </w:r>
      <w:r>
        <w:rPr>
          <w:rStyle w:val="CharStyle13"/>
        </w:rPr>
        <w:t xml:space="preserve">«з» пункта </w:t>
      </w:r>
      <w:r>
        <w:rPr>
          <w:rStyle w:val="CharStyle13"/>
          <w:lang w:val="en-US" w:eastAsia="en-US"/>
        </w:rPr>
        <w:t xml:space="preserve">10 </w:t>
      </w:r>
      <w:r>
        <w:rPr>
          <w:rStyle w:val="CharStyle13"/>
        </w:rPr>
        <w:t>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наименование товара, работы, услуги;</w:t>
      </w:r>
    </w:p>
    <w:p>
      <w:pPr>
        <w:pStyle w:val="Style12"/>
        <w:keepNext w:val="0"/>
        <w:keepLines w:val="0"/>
        <w:widowControl w:val="0"/>
        <w:numPr>
          <w:ilvl w:val="0"/>
          <w:numId w:val="5"/>
        </w:numPr>
        <w:shd w:val="clear" w:color="auto" w:fill="auto"/>
        <w:tabs>
          <w:tab w:pos="927" w:val="left"/>
        </w:tabs>
        <w:bidi w:val="0"/>
        <w:spacing w:before="0" w:after="0" w:line="240" w:lineRule="auto"/>
        <w:ind w:left="0" w:right="0" w:firstLine="720"/>
        <w:jc w:val="both"/>
      </w:pPr>
      <w:r>
        <w:rPr>
          <w:rStyle w:val="CharStyle13"/>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5"/>
        </w:numPr>
        <w:shd w:val="clear" w:color="auto" w:fill="auto"/>
        <w:tabs>
          <w:tab w:pos="937" w:val="left"/>
        </w:tabs>
        <w:bidi w:val="0"/>
        <w:spacing w:before="0" w:after="0" w:line="240" w:lineRule="auto"/>
        <w:ind w:left="0" w:right="0" w:firstLine="720"/>
        <w:jc w:val="both"/>
      </w:pPr>
      <w:r>
        <w:rPr>
          <w:rStyle w:val="CharStyle13"/>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На основании анализа положений извещения об осуществлении закупки, сформированных с использованием ЕИС при заполнении экранных форм веб-интерфейса ЕИС (часть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3 </w:t>
      </w:r>
      <w:r>
        <w:rPr>
          <w:rStyle w:val="CharStyle13"/>
        </w:rPr>
        <w:t>Положения о порядке формирования и размещения</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информации и документов в единой информационной системе в сфере закупок, о требованиях к их формам, утвержденного постановлением Правительства Российской Федерации от </w:t>
      </w:r>
      <w:r>
        <w:rPr>
          <w:rStyle w:val="CharStyle13"/>
          <w:lang w:val="en-US" w:eastAsia="en-US"/>
        </w:rPr>
        <w:t xml:space="preserve">27.01.2022 № 60), </w:t>
      </w:r>
      <w:r>
        <w:rPr>
          <w:rStyle w:val="CharStyle13"/>
        </w:rPr>
        <w:t xml:space="preserve">а также при прикреплении электронных документов (часть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пункт </w:t>
      </w:r>
      <w:r>
        <w:rPr>
          <w:rStyle w:val="CharStyle13"/>
          <w:lang w:val="en-US" w:eastAsia="en-US"/>
        </w:rPr>
        <w:t xml:space="preserve">4 </w:t>
      </w:r>
      <w:r>
        <w:rPr>
          <w:rStyle w:val="CharStyle13"/>
        </w:rPr>
        <w:t>вышеуказанного Положения), Комиссия установила, что заказчиком осуществляется закупка медицинского оборудования, при описании объекта закупки использована позиция КТРУ.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7 </w:t>
      </w:r>
      <w:r>
        <w:rPr>
          <w:rStyle w:val="CharStyle13"/>
        </w:rPr>
        <w:t xml:space="preserve">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w:t>
      </w:r>
      <w:r>
        <w:rPr>
          <w:rStyle w:val="CharStyle13"/>
          <w:lang w:val="en-US" w:eastAsia="en-US"/>
        </w:rPr>
        <w:t xml:space="preserve">33 </w:t>
      </w:r>
      <w:r>
        <w:rPr>
          <w:rStyle w:val="CharStyle13"/>
        </w:rPr>
        <w:t xml:space="preserve">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33 </w:t>
      </w:r>
      <w:r>
        <w:rPr>
          <w:rStyle w:val="CharStyle13"/>
        </w:rPr>
        <w:t xml:space="preserve">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пунктом </w:t>
      </w:r>
      <w:r>
        <w:rPr>
          <w:rStyle w:val="CharStyle13"/>
          <w:lang w:val="en-US" w:eastAsia="en-US"/>
        </w:rPr>
        <w:t xml:space="preserve">1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75 </w:t>
      </w:r>
      <w:r>
        <w:rPr>
          <w:rStyle w:val="CharStyle13"/>
        </w:rPr>
        <w:t>Федерального закона соответственно.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были соблюдены требования Правил использования КТРУ, первый довод подателя жалобы о неприменении заказчиком позиции КТРУ не находит своего подтверждения и признается необоснованным.</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 xml:space="preserve">Заказчиком не установлены ограничения по Постановлению </w:t>
      </w:r>
      <w:r>
        <w:rPr>
          <w:rStyle w:val="CharStyle13"/>
          <w:lang w:val="en-US" w:eastAsia="en-US"/>
        </w:rPr>
        <w:t xml:space="preserve">№ 878 </w:t>
      </w:r>
      <w:r>
        <w:rPr>
          <w:rStyle w:val="CharStyle13"/>
        </w:rPr>
        <w:t xml:space="preserve">и по Постановлению </w:t>
      </w:r>
      <w:r>
        <w:rPr>
          <w:rStyle w:val="CharStyle13"/>
          <w:lang w:val="en-US" w:eastAsia="en-US"/>
        </w:rPr>
        <w:t>№ 126.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подателя жалобы на то, что Постановление </w:t>
      </w:r>
      <w:r>
        <w:rPr>
          <w:rStyle w:val="CharStyle13"/>
          <w:lang w:val="en-US" w:eastAsia="en-US"/>
        </w:rPr>
        <w:t xml:space="preserve">№ 878 </w:t>
      </w:r>
      <w:r>
        <w:rPr>
          <w:rStyle w:val="CharStyle13"/>
        </w:rPr>
        <w:t xml:space="preserve">не устанавливает ограничения закупок товаров, работ, услуг.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w:t>
      </w:r>
      <w:r>
        <w:rPr>
          <w:rStyle w:val="CharStyle13"/>
          <w:lang w:val="en-US" w:eastAsia="en-US"/>
        </w:rPr>
        <w:t xml:space="preserve">№ 878, </w:t>
      </w:r>
      <w:r>
        <w:rPr>
          <w:rStyle w:val="CharStyle13"/>
        </w:rPr>
        <w:t xml:space="preserve">утратил силу с </w:t>
      </w:r>
      <w:r>
        <w:rPr>
          <w:rStyle w:val="CharStyle13"/>
          <w:lang w:val="en-US" w:eastAsia="en-US"/>
        </w:rPr>
        <w:t>01.01.2025.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Постановление </w:t>
      </w:r>
      <w:r>
        <w:rPr>
          <w:rStyle w:val="CharStyle13"/>
          <w:lang w:val="en-US" w:eastAsia="en-US"/>
        </w:rPr>
        <w:t xml:space="preserve">№ 126 </w:t>
      </w:r>
      <w:r>
        <w:rPr>
          <w:rStyle w:val="CharStyle13"/>
        </w:rPr>
        <w:t xml:space="preserve">также утратило силу с </w:t>
      </w:r>
      <w:r>
        <w:rPr>
          <w:rStyle w:val="CharStyle13"/>
          <w:lang w:val="en-US" w:eastAsia="en-US"/>
        </w:rPr>
        <w:t>01.09.2025.</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связи с вышеуказанным, ограничения по указанным постановлениям не подлежат установлению ввиду их отсутствия. Таким образом, второй довод подателя жалобы также не находит своего подтверждения и признается несостоятельным.</w:t>
      </w:r>
    </w:p>
    <w:p>
      <w:pPr>
        <w:pStyle w:val="Style12"/>
        <w:keepNext w:val="0"/>
        <w:keepLines w:val="0"/>
        <w:widowControl w:val="0"/>
        <w:numPr>
          <w:ilvl w:val="0"/>
          <w:numId w:val="3"/>
        </w:numPr>
        <w:shd w:val="clear" w:color="auto" w:fill="auto"/>
        <w:tabs>
          <w:tab w:pos="1052" w:val="left"/>
        </w:tabs>
        <w:bidi w:val="0"/>
        <w:spacing w:before="0" w:after="0" w:line="240" w:lineRule="auto"/>
        <w:ind w:left="0" w:right="0" w:firstLine="720"/>
        <w:jc w:val="both"/>
      </w:pPr>
      <w:r>
        <w:rPr>
          <w:rStyle w:val="CharStyle13"/>
        </w:rPr>
        <w:t xml:space="preserve">По мнению подателя жалобы, заказчиком не применены ограничения по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15 </w:t>
      </w:r>
      <w:r>
        <w:rPr>
          <w:rStyle w:val="CharStyle13"/>
        </w:rPr>
        <w:t xml:space="preserve">части </w:t>
      </w:r>
      <w:r>
        <w:rPr>
          <w:rStyle w:val="CharStyle13"/>
          <w:lang w:val="en-US" w:eastAsia="en-US"/>
        </w:rPr>
        <w:t xml:space="preserve">1 </w:t>
      </w:r>
      <w:r>
        <w:rPr>
          <w:rStyle w:val="CharStyle13"/>
        </w:rPr>
        <w:t xml:space="preserve">статьи </w:t>
      </w:r>
      <w:r>
        <w:rPr>
          <w:rStyle w:val="CharStyle13"/>
          <w:lang w:val="en-US" w:eastAsia="en-US"/>
        </w:rPr>
        <w:t xml:space="preserve">42 </w:t>
      </w:r>
      <w:r>
        <w:rPr>
          <w:rStyle w:val="CharStyle13"/>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3"/>
          <w:lang w:val="en-US" w:eastAsia="en-US"/>
        </w:rPr>
        <w:t xml:space="preserve">14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принятия Правительством Российской Федерации мер, предусмотренных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Если иное не предусмотрено мерами, принятыми Правительством Российской Федерации в соответствии с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положения статьи </w:t>
      </w:r>
      <w:r>
        <w:rPr>
          <w:rStyle w:val="CharStyle13"/>
          <w:lang w:val="en-US" w:eastAsia="en-US"/>
        </w:rPr>
        <w:t xml:space="preserve">14 </w:t>
      </w:r>
      <w:r>
        <w:rPr>
          <w:rStyle w:val="CharStyle13"/>
        </w:rPr>
        <w:t>Закона о контрактной системе,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w:t>
      </w:r>
    </w:p>
    <w:p>
      <w:pPr>
        <w:pStyle w:val="Style12"/>
        <w:keepNext w:val="0"/>
        <w:keepLines w:val="0"/>
        <w:widowControl w:val="0"/>
        <w:shd w:val="clear" w:color="auto" w:fill="auto"/>
        <w:bidi w:val="0"/>
        <w:spacing w:before="0" w:after="0" w:line="240" w:lineRule="auto"/>
        <w:ind w:left="0" w:right="0" w:firstLine="0"/>
        <w:jc w:val="both"/>
      </w:pPr>
      <w:r>
        <w:rPr>
          <w:rStyle w:val="CharStyle13"/>
        </w:rPr>
        <w:t>товаром российского происхождения, работой, услугой, соответственно выполняемой оказываемой российским лицом.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 xml:space="preserve">Закона о контрактной системе Правительство Российской Федерации вправе с учетом положений части </w:t>
      </w:r>
      <w:r>
        <w:rPr>
          <w:rStyle w:val="CharStyle13"/>
          <w:lang w:val="en-US" w:eastAsia="en-US"/>
        </w:rPr>
        <w:t xml:space="preserve">3 </w:t>
      </w:r>
      <w:r>
        <w:rPr>
          <w:rStyle w:val="CharStyle13"/>
        </w:rPr>
        <w:t xml:space="preserve">статьи </w:t>
      </w:r>
      <w:r>
        <w:rPr>
          <w:rStyle w:val="CharStyle13"/>
          <w:lang w:val="en-US" w:eastAsia="en-US"/>
        </w:rPr>
        <w:t xml:space="preserve">14 </w:t>
      </w:r>
      <w:r>
        <w:rPr>
          <w:rStyle w:val="CharStyle13"/>
        </w:rPr>
        <w:t>Закона о контрактной системе принимать меры, устанавливающие:</w:t>
      </w:r>
    </w:p>
    <w:p>
      <w:pPr>
        <w:pStyle w:val="Style12"/>
        <w:keepNext w:val="0"/>
        <w:keepLines w:val="0"/>
        <w:widowControl w:val="0"/>
        <w:numPr>
          <w:ilvl w:val="0"/>
          <w:numId w:val="7"/>
        </w:numPr>
        <w:shd w:val="clear" w:color="auto" w:fill="auto"/>
        <w:tabs>
          <w:tab w:pos="1004" w:val="left"/>
        </w:tabs>
        <w:bidi w:val="0"/>
        <w:spacing w:before="0" w:after="0" w:line="240" w:lineRule="auto"/>
        <w:ind w:left="0" w:right="0" w:firstLine="720"/>
        <w:jc w:val="both"/>
      </w:pPr>
      <w:r>
        <w:rPr>
          <w:rStyle w:val="CharStyle13"/>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28" w:val="left"/>
        </w:tabs>
        <w:bidi w:val="0"/>
        <w:spacing w:before="0" w:after="0" w:line="240" w:lineRule="auto"/>
        <w:ind w:left="0" w:right="0" w:firstLine="720"/>
        <w:jc w:val="both"/>
      </w:pPr>
      <w:r>
        <w:rPr>
          <w:rStyle w:val="CharStyle13"/>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2"/>
        <w:keepNext w:val="0"/>
        <w:keepLines w:val="0"/>
        <w:widowControl w:val="0"/>
        <w:numPr>
          <w:ilvl w:val="0"/>
          <w:numId w:val="7"/>
        </w:numPr>
        <w:shd w:val="clear" w:color="auto" w:fill="auto"/>
        <w:tabs>
          <w:tab w:pos="1014" w:val="left"/>
        </w:tabs>
        <w:bidi w:val="0"/>
        <w:spacing w:before="0" w:after="0" w:line="240" w:lineRule="auto"/>
        <w:ind w:left="0" w:right="0" w:firstLine="720"/>
        <w:jc w:val="both"/>
      </w:pPr>
      <w:r>
        <w:rPr>
          <w:rStyle w:val="CharStyle13"/>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Пунктом </w:t>
      </w:r>
      <w:r>
        <w:rPr>
          <w:rStyle w:val="CharStyle13"/>
          <w:lang w:val="en-US" w:eastAsia="en-US"/>
        </w:rPr>
        <w:t xml:space="preserve">1 </w:t>
      </w:r>
      <w:r>
        <w:rPr>
          <w:rStyle w:val="CharStyle13"/>
        </w:rPr>
        <w:t xml:space="preserve">Постановления </w:t>
      </w:r>
      <w:r>
        <w:rPr>
          <w:rStyle w:val="CharStyle13"/>
          <w:lang w:val="en-US" w:eastAsia="en-US"/>
        </w:rPr>
        <w:t xml:space="preserve">№ 1875 </w:t>
      </w:r>
      <w:r>
        <w:rPr>
          <w:rStyle w:val="CharStyle13"/>
        </w:rPr>
        <w:t xml:space="preserve">установлено, что при осуществлении закупок в соответствии с Законом о контрактной системе установлены запрет или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товара не включенного в перечни согласно Приложениям </w:t>
      </w:r>
      <w:r>
        <w:rPr>
          <w:rStyle w:val="CharStyle13"/>
          <w:lang w:val="en-US" w:eastAsia="en-US"/>
        </w:rPr>
        <w:t xml:space="preserve">№ 1 </w:t>
      </w:r>
      <w:r>
        <w:rPr>
          <w:rStyle w:val="CharStyle13"/>
        </w:rPr>
        <w:t xml:space="preserve">и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w:t>
      </w:r>
      <w:r>
        <w:rPr>
          <w:rStyle w:val="CharStyle13"/>
        </w:rPr>
        <w:t>должно быть установлено преимущество.</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Требования Постановления </w:t>
      </w:r>
      <w:r>
        <w:rPr>
          <w:rStyle w:val="CharStyle13"/>
          <w:lang w:val="en-US" w:eastAsia="en-US"/>
        </w:rPr>
        <w:t xml:space="preserve">№ 1875 </w:t>
      </w:r>
      <w:r>
        <w:rPr>
          <w:rStyle w:val="CharStyle13"/>
        </w:rPr>
        <w:t>Заказчиком были соблюдены.</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третий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lang w:val="en-US" w:eastAsia="en-US"/>
        </w:rPr>
        <w:t xml:space="preserve">4) </w:t>
      </w:r>
      <w:r>
        <w:rPr>
          <w:rStyle w:val="CharStyle13"/>
        </w:rPr>
        <w:t>По мнению подателя жалобы, описанию объекта закупки не соответствует ни одна из моделей медицинского оборудования, присутствующая в едином реестре радиоэлектронной продукции, описанию объекта закупки соответствует продукция исключительно иностранного производства более низкого качества, по завышенной цене.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Заказчиком установлено преимущество в отношении товаров российского происхождения Заказчиком не закупается радиоэлектронная продукция.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w:t>
      </w:r>
      <w:r>
        <w:rPr>
          <w:rStyle w:val="CharStyle13"/>
          <w:lang w:val="en-US" w:eastAsia="en-US"/>
        </w:rPr>
        <w:t xml:space="preserve">1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14 </w:t>
      </w:r>
      <w:r>
        <w:rPr>
          <w:rStyle w:val="CharStyle13"/>
        </w:rPr>
        <w:t>Закона о контрактной системе запрет, ограничение или преимущество указываются характеристики товара российского происхождения.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абзацу </w:t>
      </w:r>
      <w:r>
        <w:rPr>
          <w:rStyle w:val="CharStyle13"/>
          <w:lang w:val="en-US" w:eastAsia="en-US"/>
        </w:rPr>
        <w:t xml:space="preserve">4 </w:t>
      </w:r>
      <w:r>
        <w:rPr>
          <w:rStyle w:val="CharStyle13"/>
        </w:rPr>
        <w:t xml:space="preserve">и </w:t>
      </w:r>
      <w:r>
        <w:rPr>
          <w:rStyle w:val="CharStyle13"/>
          <w:lang w:val="en-US" w:eastAsia="en-US"/>
        </w:rPr>
        <w:t xml:space="preserve">5 </w:t>
      </w:r>
      <w:r>
        <w:rPr>
          <w:rStyle w:val="CharStyle13"/>
        </w:rPr>
        <w:t xml:space="preserve">подпункта «а» пункта </w:t>
      </w:r>
      <w:r>
        <w:rPr>
          <w:rStyle w:val="CharStyle13"/>
          <w:lang w:val="en-US" w:eastAsia="en-US"/>
        </w:rPr>
        <w:t xml:space="preserve">7 </w:t>
      </w:r>
      <w:r>
        <w:rPr>
          <w:rStyle w:val="CharStyle13"/>
        </w:rPr>
        <w:t xml:space="preserve">Постановления </w:t>
      </w:r>
      <w:r>
        <w:rPr>
          <w:rStyle w:val="CharStyle13"/>
          <w:lang w:val="en-US" w:eastAsia="en-US"/>
        </w:rPr>
        <w:t xml:space="preserve">№ 1875 </w:t>
      </w:r>
      <w:r>
        <w:rPr>
          <w:rStyle w:val="CharStyle13"/>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12"/>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rStyle w:val="CharStyle13"/>
        </w:rPr>
        <w:t xml:space="preserve">при осуществлении закупки товаров, указанных в 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 </w:t>
      </w:r>
      <w:r>
        <w:rPr>
          <w:rStyle w:val="CharStyle13"/>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w:t>
      </w:r>
    </w:p>
    <w:p>
      <w:pPr>
        <w:pStyle w:val="Style12"/>
        <w:keepNext w:val="0"/>
        <w:keepLines w:val="0"/>
        <w:widowControl w:val="0"/>
        <w:shd w:val="clear" w:color="auto" w:fill="auto"/>
        <w:bidi w:val="0"/>
        <w:spacing w:before="0" w:after="0" w:line="240" w:lineRule="auto"/>
        <w:ind w:left="0" w:right="0" w:firstLine="0"/>
        <w:jc w:val="both"/>
      </w:pPr>
      <w:r>
        <w:rPr>
          <w:rStyle w:val="CharStyle13"/>
        </w:rPr>
        <w:t xml:space="preserve">(наименование товара, код товара по Общероссийскому классификатору продукции по видам экономической деятельности ОК </w:t>
      </w:r>
      <w:r>
        <w:rPr>
          <w:rStyle w:val="CharStyle13"/>
          <w:lang w:val="en-US" w:eastAsia="en-US"/>
        </w:rPr>
        <w:t xml:space="preserve">034-2014 </w:t>
      </w:r>
      <w:r>
        <w:rPr>
          <w:rStyle w:val="CharStyle13"/>
        </w:rPr>
        <w:t xml:space="preserve">(КПЕС </w:t>
      </w:r>
      <w:r>
        <w:rPr>
          <w:rStyle w:val="CharStyle13"/>
          <w:lang w:val="en-US" w:eastAsia="en-US"/>
        </w:rPr>
        <w:t xml:space="preserve">2008), </w:t>
      </w:r>
      <w:r>
        <w:rPr>
          <w:rStyle w:val="CharStyle13"/>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2"/>
        <w:keepNext w:val="0"/>
        <w:keepLines w:val="0"/>
        <w:widowControl w:val="0"/>
        <w:numPr>
          <w:ilvl w:val="0"/>
          <w:numId w:val="9"/>
        </w:numPr>
        <w:shd w:val="clear" w:color="auto" w:fill="auto"/>
        <w:tabs>
          <w:tab w:pos="1066" w:val="left"/>
        </w:tabs>
        <w:bidi w:val="0"/>
        <w:spacing w:before="0" w:after="0" w:line="240" w:lineRule="auto"/>
        <w:ind w:left="0" w:right="0" w:firstLine="720"/>
        <w:jc w:val="both"/>
      </w:pPr>
      <w:r>
        <w:rPr>
          <w:rStyle w:val="CharStyle13"/>
        </w:rPr>
        <w:t xml:space="preserve">при осуществлении закупки товаров, не указанных в позициях </w:t>
      </w:r>
      <w:r>
        <w:rPr>
          <w:rStyle w:val="CharStyle13"/>
          <w:lang w:val="en-US" w:eastAsia="en-US"/>
        </w:rPr>
        <w:t xml:space="preserve">1 - 145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 xml:space="preserve">позициях </w:t>
      </w:r>
      <w:r>
        <w:rPr>
          <w:rStyle w:val="CharStyle13"/>
          <w:lang w:val="en-US" w:eastAsia="en-US"/>
        </w:rPr>
        <w:t xml:space="preserve">1 - 433 </w:t>
      </w:r>
      <w:r>
        <w:rPr>
          <w:rStyle w:val="CharStyle13"/>
        </w:rPr>
        <w:t xml:space="preserve">приложения </w:t>
      </w:r>
      <w:r>
        <w:rPr>
          <w:rStyle w:val="CharStyle13"/>
          <w:lang w:val="en-US" w:eastAsia="en-US"/>
        </w:rPr>
        <w:t xml:space="preserve">№ 2 </w:t>
      </w:r>
      <w:r>
        <w:rPr>
          <w:rStyle w:val="CharStyle13"/>
        </w:rPr>
        <w:t xml:space="preserve">к Постановлению </w:t>
      </w:r>
      <w:r>
        <w:rPr>
          <w:rStyle w:val="CharStyle13"/>
          <w:lang w:val="en-US" w:eastAsia="en-US"/>
        </w:rPr>
        <w:t xml:space="preserve">№ 1875 , - </w:t>
      </w:r>
      <w:r>
        <w:rPr>
          <w:rStyle w:val="CharStyle13"/>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Заказчиком соблюдены требование части </w:t>
      </w:r>
      <w:r>
        <w:rPr>
          <w:rStyle w:val="CharStyle13"/>
          <w:lang w:val="en-US" w:eastAsia="en-US"/>
        </w:rPr>
        <w:t xml:space="preserve">1.1 </w:t>
      </w:r>
      <w:r>
        <w:rPr>
          <w:rStyle w:val="CharStyle13"/>
        </w:rPr>
        <w:t xml:space="preserve">статьи </w:t>
      </w:r>
      <w:r>
        <w:rPr>
          <w:rStyle w:val="CharStyle13"/>
          <w:lang w:val="en-US" w:eastAsia="en-US"/>
        </w:rPr>
        <w:t xml:space="preserve">33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четвёртый довод подателя жалобы не находит своего подтверждения и признается Комиссией необоснованным.</w:t>
      </w:r>
    </w:p>
    <w:p>
      <w:pPr>
        <w:pStyle w:val="Style12"/>
        <w:keepNext w:val="0"/>
        <w:keepLines w:val="0"/>
        <w:widowControl w:val="0"/>
        <w:numPr>
          <w:ilvl w:val="0"/>
          <w:numId w:val="11"/>
        </w:numPr>
        <w:shd w:val="clear" w:color="auto" w:fill="auto"/>
        <w:tabs>
          <w:tab w:pos="1070" w:val="left"/>
        </w:tabs>
        <w:bidi w:val="0"/>
        <w:spacing w:before="0" w:after="0" w:line="240" w:lineRule="auto"/>
        <w:ind w:left="0" w:right="0" w:firstLine="720"/>
        <w:jc w:val="both"/>
      </w:pPr>
      <w:r>
        <w:rPr>
          <w:rStyle w:val="CharStyle13"/>
        </w:rPr>
        <w:t>Податель жалобы указывает, что в Техническом задании указаны характеристики медицинского оборудования ниже (хуже), чем у оборудования, размещенного в Реестре радиоэлектронной продукции российского производства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Закупаемый товар не относится к радиоэлектронной продукции.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вышеуказанного пятый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1"/>
        </w:numPr>
        <w:shd w:val="clear" w:color="auto" w:fill="auto"/>
        <w:tabs>
          <w:tab w:pos="1061" w:val="left"/>
        </w:tabs>
        <w:bidi w:val="0"/>
        <w:spacing w:before="0" w:after="0" w:line="240" w:lineRule="auto"/>
        <w:ind w:left="0" w:right="0" w:firstLine="720"/>
        <w:jc w:val="both"/>
      </w:pPr>
      <w:r>
        <w:rPr>
          <w:rStyle w:val="CharStyle13"/>
        </w:rPr>
        <w:t xml:space="preserve">Податель жалобы указывает, что заказчик неправомерно не применил положения Постановления </w:t>
      </w:r>
      <w:r>
        <w:rPr>
          <w:rStyle w:val="CharStyle13"/>
          <w:lang w:val="en-US" w:eastAsia="en-US"/>
        </w:rPr>
        <w:t xml:space="preserve">№ 1236, </w:t>
      </w:r>
      <w:r>
        <w:rPr>
          <w:rStyle w:val="CharStyle13"/>
        </w:rPr>
        <w:t>а также явным образом не сформулировал требования в отношении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отношении доводов Заявителя о том, что при проведении закупки заказчиком неправомерно не применены положения Постановления </w:t>
      </w:r>
      <w:r>
        <w:rPr>
          <w:rStyle w:val="CharStyle13"/>
          <w:lang w:val="en-US" w:eastAsia="en-US"/>
        </w:rPr>
        <w:t xml:space="preserve">№ 1236, </w:t>
      </w:r>
      <w:r>
        <w:rPr>
          <w:rStyle w:val="CharStyle13"/>
        </w:rPr>
        <w:t xml:space="preserve">неоднозначно сформулированы требования в отношении программного обеспечения, фактически закупается программа </w:t>
      </w:r>
      <w:r>
        <w:rPr>
          <w:rStyle w:val="CharStyle13"/>
          <w:lang w:val="en-US" w:eastAsia="en-US"/>
        </w:rPr>
        <w:t xml:space="preserve">DICOM </w:t>
      </w:r>
      <w:r>
        <w:rPr>
          <w:rStyle w:val="CharStyle13"/>
        </w:rPr>
        <w:t>которая является самостоятельным продуктом и ее необходимо закупать отдельно,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извещению об осуществлении закупки, запрет, предусмотренный положениями Постановления </w:t>
      </w:r>
      <w:r>
        <w:rPr>
          <w:rStyle w:val="CharStyle13"/>
          <w:lang w:val="en-US" w:eastAsia="en-US"/>
        </w:rPr>
        <w:t xml:space="preserve">№ 1236, </w:t>
      </w:r>
      <w:r>
        <w:rPr>
          <w:rStyle w:val="CharStyle13"/>
        </w:rPr>
        <w:t>заказчиком не установлен.</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обоснование своей позиции заявитель указывает, что закупаемый товар содержит в своем составе программное обеспечение (фактически закупается программа </w:t>
      </w:r>
      <w:r>
        <w:rPr>
          <w:rStyle w:val="CharStyle13"/>
          <w:lang w:val="en-US" w:eastAsia="en-US"/>
        </w:rPr>
        <w:t xml:space="preserve">DICOM), </w:t>
      </w:r>
      <w:r>
        <w:rPr>
          <w:rStyle w:val="CharStyle13"/>
        </w:rPr>
        <w:t xml:space="preserve">в связи с чем заказчик был обязан установить запрет на допуск программного обеспечения, происходящего из иностранных государств, предусмотренный Постановлением </w:t>
      </w:r>
      <w:r>
        <w:rPr>
          <w:rStyle w:val="CharStyle13"/>
          <w:lang w:val="en-US" w:eastAsia="en-US"/>
        </w:rPr>
        <w:t>№ 1236.</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Комиссия обращает внимание, что с </w:t>
      </w:r>
      <w:r>
        <w:rPr>
          <w:rStyle w:val="CharStyle13"/>
          <w:lang w:val="en-US" w:eastAsia="en-US"/>
        </w:rPr>
        <w:t xml:space="preserve">01.01.2025 </w:t>
      </w:r>
      <w:r>
        <w:rPr>
          <w:rStyle w:val="CharStyle13"/>
        </w:rPr>
        <w:t xml:space="preserve">пункты </w:t>
      </w:r>
      <w:r>
        <w:rPr>
          <w:rStyle w:val="CharStyle13"/>
          <w:lang w:val="en-US" w:eastAsia="en-US"/>
        </w:rPr>
        <w:t xml:space="preserve">2, 2(1) </w:t>
      </w:r>
      <w:r>
        <w:rPr>
          <w:rStyle w:val="CharStyle13"/>
        </w:rPr>
        <w:t xml:space="preserve">Постановления </w:t>
      </w:r>
      <w:r>
        <w:rPr>
          <w:rStyle w:val="CharStyle13"/>
          <w:lang w:val="en-US" w:eastAsia="en-US"/>
        </w:rPr>
        <w:t xml:space="preserve">№ 1236 </w:t>
      </w:r>
      <w:r>
        <w:rPr>
          <w:rStyle w:val="CharStyle13"/>
        </w:rPr>
        <w:t>утратили силу.</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Вместе с тем, в соответствии с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xml:space="preserve">№ 1875, </w:t>
      </w:r>
      <w:r>
        <w:rPr>
          <w:rStyle w:val="CharStyle13"/>
        </w:rPr>
        <w:t xml:space="preserve">для целей Постановления </w:t>
      </w:r>
      <w:r>
        <w:rPr>
          <w:rStyle w:val="CharStyle13"/>
          <w:lang w:val="en-US" w:eastAsia="en-US"/>
        </w:rPr>
        <w:t xml:space="preserve">№ 1875 </w:t>
      </w:r>
      <w:r>
        <w:rPr>
          <w:rStyle w:val="CharStyle13"/>
        </w:rPr>
        <w:t xml:space="preserve">под программным обеспечением, указанным в позиции </w:t>
      </w:r>
      <w:r>
        <w:rPr>
          <w:rStyle w:val="CharStyle13"/>
          <w:lang w:val="en-US" w:eastAsia="en-US"/>
        </w:rPr>
        <w:t xml:space="preserve">146 </w:t>
      </w:r>
      <w:r>
        <w:rPr>
          <w:rStyle w:val="CharStyle13"/>
        </w:rPr>
        <w:t xml:space="preserve">приложения </w:t>
      </w:r>
      <w:r>
        <w:rPr>
          <w:rStyle w:val="CharStyle13"/>
          <w:lang w:val="en-US" w:eastAsia="en-US"/>
        </w:rPr>
        <w:t xml:space="preserve">№ 1 </w:t>
      </w:r>
      <w:r>
        <w:rPr>
          <w:rStyle w:val="CharStyle13"/>
        </w:rPr>
        <w:t xml:space="preserve">к Постановлению </w:t>
      </w:r>
      <w:r>
        <w:rPr>
          <w:rStyle w:val="CharStyle13"/>
          <w:lang w:val="en-US" w:eastAsia="en-US"/>
        </w:rPr>
        <w:t xml:space="preserve">№ 1875, </w:t>
      </w:r>
      <w:r>
        <w:rPr>
          <w:rStyle w:val="CharStyle13"/>
        </w:rPr>
        <w:t>понимается программное обеспечение и (или) права на него возникшие вследствие: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на материальном носителе и (или) в электронном виде по каналам связи, а также предоставления в пользование программного обеспечения посредством использования каналов связи и внешней информационно-технологической и программно-аппаратной инфраструктуры обеспечивающей сбор, обработку и хранение данных (услуги облачных вычислений);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поставки, технического обслуживания персональных электронных вычислительных машин устройств терминального доступа, серверного оборудования и иных средств вычислительной техники, на которых программное обеспечение подлежит установке в результате исполнения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выполнения работ, оказания услуг, связанных с разработкой, модификацией, модернизацией программного обеспечения, в том числе в составе существующих автоматизированных систем если такие работы или услуги сопряжены с предоставлением заказчику прав на использование</w:t>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оказания услуг, связанных с сопровождением, технической поддержкой, обновлением программного обеспечения, в том числе в составе существующих автоматизированных систем если такие услуги сопряжены с предоставлением заказчику прав на использование программного обеспечения или расширением ранее предоставленного объема прав.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Приказом Министерства цифрового развития, связи и массовых коммуникаций РФ от </w:t>
      </w:r>
      <w:r>
        <w:rPr>
          <w:rStyle w:val="CharStyle13"/>
          <w:lang w:val="en-US" w:eastAsia="en-US"/>
        </w:rPr>
        <w:t xml:space="preserve">22.09.2020 № 486 </w:t>
      </w:r>
      <w:r>
        <w:rPr>
          <w:rStyle w:val="CharStyle13"/>
        </w:rPr>
        <w:t>«Об утверждении классификатора программ для электронных вычислительных машин и баз данных», приводится перечень отраслевого прикладного программного обеспечения для решения отраслевых задач в области здравоохранения. Данное программное обеспечение предназначено для обеспечения деятельности в медицинских организациях, включая автоматизацию управления лечебно-профилактическими учреждениями, системы управления медицинской техникой, системы сбора, хранения и обработки данных. Он включает в себя следующие коды:</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12.21.58.29.2;</w:t>
      </w:r>
    </w:p>
    <w:p>
      <w:pPr>
        <w:pStyle w:val="Style12"/>
        <w:keepNext w:val="0"/>
        <w:keepLines w:val="0"/>
        <w:widowControl w:val="0"/>
        <w:numPr>
          <w:ilvl w:val="0"/>
          <w:numId w:val="13"/>
        </w:numPr>
        <w:shd w:val="clear" w:color="auto" w:fill="auto"/>
        <w:tabs>
          <w:tab w:pos="1109" w:val="left"/>
        </w:tabs>
        <w:bidi w:val="0"/>
        <w:spacing w:before="0" w:after="0" w:line="240" w:lineRule="auto"/>
        <w:ind w:left="0" w:right="0" w:firstLine="720"/>
        <w:jc w:val="both"/>
      </w:pPr>
      <w:r>
        <w:rPr>
          <w:rStyle w:val="CharStyle13"/>
          <w:lang w:val="en-US" w:eastAsia="en-US"/>
        </w:rPr>
        <w:t>12.21.58.29.3;</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12.21.58.29.32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12.21.58.29.4;</w:t>
      </w:r>
    </w:p>
    <w:p>
      <w:pPr>
        <w:pStyle w:val="Style12"/>
        <w:keepNext w:val="0"/>
        <w:keepLines w:val="0"/>
        <w:widowControl w:val="0"/>
        <w:numPr>
          <w:ilvl w:val="0"/>
          <w:numId w:val="13"/>
        </w:numPr>
        <w:shd w:val="clear" w:color="auto" w:fill="auto"/>
        <w:tabs>
          <w:tab w:pos="1104" w:val="left"/>
        </w:tabs>
        <w:bidi w:val="0"/>
        <w:spacing w:before="0" w:after="0" w:line="240" w:lineRule="auto"/>
        <w:ind w:left="0" w:right="0" w:firstLine="720"/>
        <w:jc w:val="both"/>
      </w:pPr>
      <w:r>
        <w:rPr>
          <w:rStyle w:val="CharStyle13"/>
          <w:lang w:val="en-US" w:eastAsia="en-US"/>
        </w:rPr>
        <w:t>12.21.62;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12.21.62.01.2;</w:t>
      </w:r>
    </w:p>
    <w:p>
      <w:pPr>
        <w:pStyle w:val="Style12"/>
        <w:keepNext w:val="0"/>
        <w:keepLines w:val="0"/>
        <w:widowControl w:val="0"/>
        <w:numPr>
          <w:ilvl w:val="0"/>
          <w:numId w:val="13"/>
        </w:numPr>
        <w:shd w:val="clear" w:color="auto" w:fill="auto"/>
        <w:tabs>
          <w:tab w:pos="1099" w:val="left"/>
        </w:tabs>
        <w:bidi w:val="0"/>
        <w:spacing w:before="0" w:after="0" w:line="240" w:lineRule="auto"/>
        <w:ind w:left="0" w:right="0" w:firstLine="720"/>
        <w:jc w:val="both"/>
      </w:pPr>
      <w:r>
        <w:rPr>
          <w:rStyle w:val="CharStyle13"/>
          <w:lang w:val="en-US" w:eastAsia="en-US"/>
        </w:rPr>
        <w:t>12.21.62.01.29.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перечне отсутствует код Общероссийского классификатора продукции по видам экономической деятельности закупаемого товара. Предметом данной закупки является поставка оборудования, а не приобретение программного обеспечения.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Все программы, поставляемые вместе с оборудованием являются микропрограммами. Микропрограмма </w:t>
      </w:r>
      <w:r>
        <w:rPr>
          <w:rStyle w:val="CharStyle13"/>
          <w:lang w:val="en-US" w:eastAsia="en-US"/>
        </w:rPr>
        <w:t xml:space="preserve">— </w:t>
      </w:r>
      <w:r>
        <w:rPr>
          <w:rStyle w:val="CharStyle13"/>
        </w:rPr>
        <w:t>это тип программного обеспечения, которое встраивается в аппаратные устройства для управления их функциональностью. Микропрограмма разрабатывается производителем оборудования для конкретных устройств. Она может быть установлена только на то устройство, для которого разработана и не может функционировать без аппаратной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отличие от программного обеспечения микропрограммы не находятся в свободном гражданском обороте и не приобретаются без соответствующего устройства.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вышеизложенных положений Постановления </w:t>
      </w:r>
      <w:r>
        <w:rPr>
          <w:rStyle w:val="CharStyle13"/>
          <w:lang w:val="en-US" w:eastAsia="en-US"/>
        </w:rPr>
        <w:t xml:space="preserve">№ 1875 </w:t>
      </w:r>
      <w:r>
        <w:rPr>
          <w:rStyle w:val="CharStyle13"/>
        </w:rPr>
        <w:t xml:space="preserve">следует, что под программным обеспечением, в рамках Постановления </w:t>
      </w:r>
      <w:r>
        <w:rPr>
          <w:rStyle w:val="CharStyle13"/>
          <w:lang w:val="en-US" w:eastAsia="en-US"/>
        </w:rPr>
        <w:t xml:space="preserve">№ 1875 </w:t>
      </w:r>
      <w:r>
        <w:rPr>
          <w:rStyle w:val="CharStyle13"/>
        </w:rPr>
        <w:t xml:space="preserve">понимается в том числе поставка программного обеспечения на материальных носителях, а также поставка оборудования, на которое в рамках исполнения контракта, подлежит установка программного обеспечения. Аналогичные выводы отражены в письме Минфина России от </w:t>
      </w:r>
      <w:r>
        <w:rPr>
          <w:rStyle w:val="CharStyle13"/>
          <w:lang w:val="en-US" w:eastAsia="en-US"/>
        </w:rPr>
        <w:t>30.04.2020 № 24-03-06/35429.</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ходе анализа положений извещения об осуществлении закупки показал Комиссии, что извещением не предусмотрена необходимость установки программного обеспечения и передачи прав на него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также установлено, что объект закупки, предмет контракта, не подпадает под определение программного обеспечения, установленного подпунктом «с» пункта </w:t>
      </w:r>
      <w:r>
        <w:rPr>
          <w:rStyle w:val="CharStyle13"/>
          <w:lang w:val="en-US" w:eastAsia="en-US"/>
        </w:rPr>
        <w:t xml:space="preserve">4 </w:t>
      </w:r>
      <w:r>
        <w:rPr>
          <w:rStyle w:val="CharStyle13"/>
        </w:rPr>
        <w:t xml:space="preserve">Постановления </w:t>
      </w:r>
      <w:r>
        <w:rPr>
          <w:rStyle w:val="CharStyle13"/>
          <w:lang w:val="en-US" w:eastAsia="en-US"/>
        </w:rPr>
        <w:t>№ 1875.</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настоящее время законодательством Российской Федерации не регламентированы случаи применения запретов на допуск программного обеспечения, предусмотренных Постановлением </w:t>
      </w:r>
      <w:r>
        <w:rPr>
          <w:rStyle w:val="CharStyle13"/>
          <w:lang w:val="en-US" w:eastAsia="en-US"/>
        </w:rPr>
        <w:t xml:space="preserve">№ 1875, </w:t>
      </w:r>
      <w:r>
        <w:rPr>
          <w:rStyle w:val="CharStyle13"/>
        </w:rPr>
        <w:t>когда объектом закупки является медицинское оборудование с предустановленным программным обеспечением, без которого применение такого оборудования по назначению невозможно и в закупке не предусмотрена необходимость установки программного обеспечения и передачи прав на его вследствие выполнения контрактных обязательств.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Указанные выводы подтверждаются письмами ФАС России от </w:t>
      </w:r>
      <w:r>
        <w:rPr>
          <w:rStyle w:val="CharStyle13"/>
          <w:lang w:val="en-US" w:eastAsia="en-US"/>
        </w:rPr>
        <w:t xml:space="preserve">03.02.2023 № </w:t>
      </w:r>
      <w:r>
        <w:rPr>
          <w:rStyle w:val="CharStyle13"/>
        </w:rPr>
        <w:t xml:space="preserve">ПИ/7495/23 Минцифры России от </w:t>
      </w:r>
      <w:r>
        <w:rPr>
          <w:rStyle w:val="CharStyle13"/>
          <w:lang w:val="en-US" w:eastAsia="en-US"/>
        </w:rPr>
        <w:t xml:space="preserve">15.12.2022 № </w:t>
      </w:r>
      <w:r>
        <w:rPr>
          <w:rStyle w:val="CharStyle13"/>
        </w:rPr>
        <w:t>П11-2-05-106-94501.</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Исходя из вышеизложенного, Комиссия приходит к выводу о том, что неустановление заказчиком запрета, предусмотренного Постановлением </w:t>
      </w:r>
      <w:r>
        <w:rPr>
          <w:rStyle w:val="CharStyle13"/>
          <w:lang w:val="en-US" w:eastAsia="en-US"/>
        </w:rPr>
        <w:t xml:space="preserve">№ 1875, </w:t>
      </w:r>
      <w:r>
        <w:rPr>
          <w:rStyle w:val="CharStyle13"/>
        </w:rPr>
        <w:t>является правомерным и не противоречит положениям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шестой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 xml:space="preserve">Податель жалобы указывает, что согласно описанию объекта закупки заказчик закупает программу </w:t>
      </w:r>
      <w:r>
        <w:rPr>
          <w:rStyle w:val="CharStyle13"/>
          <w:lang w:val="en-US" w:eastAsia="en-US"/>
        </w:rPr>
        <w:t xml:space="preserve">DICOM, </w:t>
      </w:r>
      <w:r>
        <w:rPr>
          <w:rStyle w:val="CharStyle13"/>
        </w:rPr>
        <w:t xml:space="preserve">которая является самостоятельным продуктом и ее необходимо закупать отдельно, при этом из Описания объекта закупки следует, что заказчик применил необязательную характеристику из КТРУ </w:t>
      </w:r>
      <w:r>
        <w:rPr>
          <w:rStyle w:val="CharStyle13"/>
          <w:lang w:val="en-US" w:eastAsia="en-US"/>
        </w:rPr>
        <w:t xml:space="preserve">— </w:t>
      </w:r>
      <w:r>
        <w:rPr>
          <w:rStyle w:val="CharStyle13"/>
        </w:rPr>
        <w:t xml:space="preserve">программа обмена данными по протоколу </w:t>
      </w:r>
      <w:r>
        <w:rPr>
          <w:rStyle w:val="CharStyle13"/>
          <w:lang w:val="en-US" w:eastAsia="en-US"/>
        </w:rPr>
        <w:t xml:space="preserve">DICOM, </w:t>
      </w:r>
      <w:r>
        <w:rPr>
          <w:rStyle w:val="CharStyle13"/>
        </w:rPr>
        <w:t xml:space="preserve">запись кадров и кинопетель в формате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Комиссией установлено, что в извещении об осуществлении закупки не применены характеристики, связанные с программой </w:t>
      </w:r>
      <w:r>
        <w:rPr>
          <w:rStyle w:val="CharStyle13"/>
          <w:lang w:val="en-US" w:eastAsia="en-US"/>
        </w:rPr>
        <w:t>DICOM.</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 основании вышеизложенного, седьмой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52" w:val="left"/>
        </w:tabs>
        <w:bidi w:val="0"/>
        <w:spacing w:before="0" w:after="0" w:line="240" w:lineRule="auto"/>
        <w:ind w:left="0" w:right="0" w:firstLine="720"/>
        <w:jc w:val="both"/>
      </w:pPr>
      <w:r>
        <w:rPr>
          <w:rStyle w:val="CharStyle13"/>
        </w:rPr>
        <w:t>Из жалобы следует, что характеристикам, указанным в описании объекта закупки, в полном объеме соответствует продукция только одного производителя, в чем податель жалобы усматривает ограничение конкуренции и нарушение требований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Комиссия сообщает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Положения статьи </w:t>
      </w:r>
      <w:r>
        <w:rPr>
          <w:rStyle w:val="CharStyle13"/>
          <w:lang w:val="en-US" w:eastAsia="en-US"/>
        </w:rPr>
        <w:t xml:space="preserve">6 </w:t>
      </w:r>
      <w:r>
        <w:rPr>
          <w:rStyle w:val="CharStyle13"/>
        </w:rPr>
        <w:t>Закона о контрактной системе устанавливают, что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 (часть </w:t>
      </w:r>
      <w:r>
        <w:rPr>
          <w:rStyle w:val="CharStyle13"/>
          <w:lang w:val="en-US" w:eastAsia="en-US"/>
        </w:rPr>
        <w:t xml:space="preserve">1 </w:t>
      </w:r>
      <w:r>
        <w:rPr>
          <w:rStyle w:val="CharStyle13"/>
        </w:rPr>
        <w:t xml:space="preserve">статьи </w:t>
      </w:r>
      <w:r>
        <w:rPr>
          <w:rStyle w:val="CharStyle13"/>
          <w:lang w:val="en-US" w:eastAsia="en-US"/>
        </w:rPr>
        <w:t xml:space="preserve">12 </w:t>
      </w:r>
      <w:r>
        <w:rPr>
          <w:rStyle w:val="CharStyle13"/>
        </w:rPr>
        <w:t>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принципы обеспечения конкуренции и ответственности за результативность обеспечения государственных и муниципальных нужд, эффективности осуществления закупок являются равнозначными и подлежащими соблюдению в равной степени во всех случаях.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Более того, основной задачей законодательства, устанавливающего порядок проведения торгов в целях удовлетворения государственных и муниципальных нужд, является не столько обеспечение максимально широкого круга участников,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В торгах могут участвовать лишь те лица, которые соответствуют названным целям. При этом для достижения указанной цели заказчик вправе в необходимой степени детализировать объект закупки (его характеристики) и в торгах могут участвовать лишь те лица, которые соответствуют названным целям. Таким образом, включение в документацию о торгах условий, которые в итоге приводят к исключению из круга участников закупки лиц, не отвечающих таким целям, не может рассматриваться как ограничение доступа к участию в торгах.</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Возможное сужение круга участников закупки с одновременным повышением эффективности использования финансирования (обеспечением его экономии) не может само по себе рассматриваться в качестве нарушения требований Закона о защите конкуренции. Аналогичная правовая позиция отражена в Обзоре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утвержденном Президиумом Верховного Суда Российской Федерации </w:t>
      </w:r>
      <w:r>
        <w:rPr>
          <w:rStyle w:val="CharStyle13"/>
          <w:lang w:val="en-US" w:eastAsia="en-US"/>
        </w:rPr>
        <w:t>28.06.2017.</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Закон о защите конкуренции не регулирует отношения, указанные в части </w:t>
      </w:r>
      <w:r>
        <w:rPr>
          <w:rStyle w:val="CharStyle13"/>
          <w:lang w:val="en-US" w:eastAsia="en-US"/>
        </w:rPr>
        <w:t xml:space="preserve">1 </w:t>
      </w:r>
      <w:r>
        <w:rPr>
          <w:rStyle w:val="CharStyle13"/>
        </w:rPr>
        <w:t xml:space="preserve">статьи </w:t>
      </w:r>
      <w:r>
        <w:rPr>
          <w:rStyle w:val="CharStyle13"/>
          <w:lang w:val="en-US" w:eastAsia="en-US"/>
        </w:rPr>
        <w:t xml:space="preserve">1 </w:t>
      </w:r>
      <w:r>
        <w:rPr>
          <w:rStyle w:val="CharStyle13"/>
        </w:rPr>
        <w:t>Закона о контрактной системе, поскольку из положений Закона о защите конкуренции следует общий запрет на осуществление действий, которые приводят или могут привести к недопущению ограничению или устранению конкуренции при проведении торгов.</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соответствии с частью </w:t>
      </w:r>
      <w:r>
        <w:rPr>
          <w:rStyle w:val="CharStyle13"/>
          <w:lang w:val="en-US" w:eastAsia="en-US"/>
        </w:rPr>
        <w:t xml:space="preserve">1 </w:t>
      </w:r>
      <w:r>
        <w:rPr>
          <w:rStyle w:val="CharStyle13"/>
        </w:rPr>
        <w:t xml:space="preserve">статьи </w:t>
      </w:r>
      <w:r>
        <w:rPr>
          <w:rStyle w:val="CharStyle13"/>
          <w:lang w:val="en-US" w:eastAsia="en-US"/>
        </w:rPr>
        <w:t xml:space="preserve">2 </w:t>
      </w:r>
      <w:r>
        <w:rPr>
          <w:rStyle w:val="CharStyle13"/>
        </w:rPr>
        <w:t>Закона о контрактной системе, Закон о защите конкуренции также не входит в систему законодательства о контрактной системе в сфере закупок вследствие чего Комиссия не может давать оценку действий заказчика, уполномоченного органа при проведении закупки на предмет наличия признаков нарушения 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жалоба не содержит доказательств нарушения субъектами контроля антимонопольных требований к торгам, что могло бы быть основанием для передачи материалов жалобы соответствующему структурному подразделению Красноярского УФАС России для рассмотрения вопроса о возбуждении антимонопольного дела по признакам нарушения требований статьи </w:t>
      </w:r>
      <w:r>
        <w:rPr>
          <w:rStyle w:val="CharStyle13"/>
          <w:lang w:val="en-US" w:eastAsia="en-US"/>
        </w:rPr>
        <w:t xml:space="preserve">17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случае, если хозяйствующий субъект обладает доказательствами свидетельствующими о наличии признаков нарушения Закона о защите конкуренции, обращения (заявления) о нарушении антимонопольного законодательства при осуществлении закупочных процедур подлежат направлению и рассмотрению в соответствии с требованиями, установленными статьей </w:t>
      </w:r>
      <w:r>
        <w:rPr>
          <w:rStyle w:val="CharStyle13"/>
          <w:lang w:val="en-US" w:eastAsia="en-US"/>
        </w:rPr>
        <w:t xml:space="preserve">44 </w:t>
      </w:r>
      <w:r>
        <w:rPr>
          <w:rStyle w:val="CharStyle13"/>
        </w:rPr>
        <w:t>Закона о защите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Выше по тексту настоящего решения Комиссией установлено, что при формировании описания объекта закупки заказчик исходил из требований как позиции КТРУ, так и фактической потребности заказчика, обусловленной получением оборудования, необходимого для достижения максимального результата при оказании своевременной и качественной медицинской помощи.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документов, представленных заказчиком, следует, что при формировании описания объекта закупки и обосновании начальной (максимальной) цены контракта на поставку медицинского оборудования заказчик, будучи участником гражданских правоотношений добросовестно исходил из наличия на момент проведении закупки на рынке предложений о поставке оборудования (различных моделей) не менее чем двух независимых производителей характеристики которого соответствуют описанию объекта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утверждение подателя жалобы о том, что Описание объекта закупки соответствует продукции исключительно иностранного производства более низкого качества является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данном случае поскольку заказчик в необходимой ему мере детализировал объект закупки, исходя из своей потребности, не выходя за рамки позиции КТРУ, исходя из цели получения оборудования, необходимого для достижения максимального результата при оказании своевременной и качественной медицинской помощи, то включение в извещение об осуществлении закупки оспариваемых подателем жалобы характеристик медицинского оборудования, которые в итоге приводят к исключению из круга участников закупки лиц, не отвечающих таким целям, не способных поставить требуемый заказчику товар, не может рассматриваться как ограничение доступа к участию в электронной процедуре.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Указанное само по себе не свидетельствует об ограничении конкуренции.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восьмой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047" w:val="left"/>
        </w:tabs>
        <w:bidi w:val="0"/>
        <w:spacing w:before="0" w:after="0" w:line="240" w:lineRule="auto"/>
        <w:ind w:left="0" w:right="0" w:firstLine="720"/>
        <w:jc w:val="both"/>
      </w:pPr>
      <w:r>
        <w:rPr>
          <w:rStyle w:val="CharStyle13"/>
        </w:rPr>
        <w:t>Как утверждает податель жалобы, заказчиком к извещению об осуществлении закупки не был прикреплен электронный документ, содержащий описание объекта закупки, в полном объеме соответствующее описанию объекта закупки, указанному в структурированной форме такого извещения.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в перечне прикрепленных файлов среди прочих обязательных требований содержится файл с описанием объекта закупки, который соответствует описанию объекта закупки в структурированном виде.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девятый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86" w:val="left"/>
        </w:tabs>
        <w:bidi w:val="0"/>
        <w:spacing w:before="0" w:after="0" w:line="240" w:lineRule="auto"/>
        <w:ind w:left="0" w:right="0" w:firstLine="720"/>
        <w:jc w:val="both"/>
      </w:pPr>
      <w:r>
        <w:rPr>
          <w:rStyle w:val="CharStyle13"/>
        </w:rPr>
        <w:t>Исходя из довода жалобы, в извещении об осуществлении закупки не указаны контактные данные сотрудников конечного получателя товара, приобретаемого по результатам проведения закупки, и функционального заказчика, в связи с чем невозможно рассчитать себестоимость поставки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Вопреки утверждению подателя жалобы об обратном в ЕИС размещены как контактные данные лиц, ответственных за проводимую закупку (в разделе контактная информация), так и указано место доставки оборудования, приобретаемого по результатам проведения закупки, в проекте контракта, что не препятствует участнику закупки в расчете себестоимости поставки такого оборудования.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десятый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81" w:val="left"/>
        </w:tabs>
        <w:bidi w:val="0"/>
        <w:spacing w:before="0" w:after="0" w:line="240" w:lineRule="auto"/>
        <w:ind w:left="0" w:right="0" w:firstLine="720"/>
        <w:jc w:val="both"/>
      </w:pPr>
      <w:r>
        <w:rPr>
          <w:rStyle w:val="CharStyle13"/>
        </w:rPr>
        <w:t>В проекте контракта отсутствует срок его действия и окончания, что, по мнению подателя жалобы, делает невозможным выпуск банковских гарантий.</w:t>
      </w:r>
    </w:p>
    <w:p>
      <w:pPr>
        <w:pStyle w:val="Style12"/>
        <w:keepNext w:val="0"/>
        <w:keepLines w:val="0"/>
        <w:widowControl w:val="0"/>
        <w:shd w:val="clear" w:color="auto" w:fill="auto"/>
        <w:bidi w:val="0"/>
        <w:spacing w:before="0" w:after="0" w:line="240" w:lineRule="auto"/>
        <w:ind w:left="0" w:right="0" w:firstLine="720"/>
        <w:jc w:val="both"/>
      </w:pPr>
      <w:r>
        <w:rPr>
          <w:rStyle w:val="CharStyle13"/>
        </w:rPr>
        <w:t>В отношении указанного довода Комиссией установлено следующее.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В силу пункта </w:t>
      </w:r>
      <w:r>
        <w:rPr>
          <w:rStyle w:val="CharStyle13"/>
          <w:lang w:val="en-US" w:eastAsia="en-US"/>
        </w:rPr>
        <w:t xml:space="preserve">5 </w:t>
      </w:r>
      <w:r>
        <w:rPr>
          <w:rStyle w:val="CharStyle13"/>
        </w:rPr>
        <w:t xml:space="preserve">части </w:t>
      </w:r>
      <w:r>
        <w:rPr>
          <w:rStyle w:val="CharStyle13"/>
          <w:lang w:val="en-US" w:eastAsia="en-US"/>
        </w:rPr>
        <w:t xml:space="preserve">2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 проектом контракта.</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Комиссией установлено, что проект контракта разработан заказчиком в соответствии с нормами, установленными Законом о контрактной системе, и является неотъемлемой частью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 анализа фактического содержания проекта контракта, размещенного в составе извещения об осуществлении закупки следует, что, вопреки утверждению подателя жалобы об обратном, в проекте контракта содержатся срок его действия и окончания, что не противоречит требованиям законодательства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Кроме того, указание контактных данных конкретных сотрудников заказчика в проекте контракта не требуется ввиду того, что законодательством о контрактной системе в сфере закупок не предусмотрено такого требования.</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одиннадцатый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95" w:val="left"/>
        </w:tabs>
        <w:bidi w:val="0"/>
        <w:spacing w:before="0" w:after="0" w:line="240" w:lineRule="auto"/>
        <w:ind w:left="0" w:right="0" w:firstLine="720"/>
        <w:jc w:val="both"/>
      </w:pPr>
      <w:r>
        <w:rPr>
          <w:rStyle w:val="CharStyle13"/>
        </w:rPr>
        <w:t>Исходя из довода жалобы, заказчиком нарушены сроки и время окончания срока подачи заявок относительно размещения извещения об осуществлении закупки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Согласно пункту </w:t>
      </w:r>
      <w:r>
        <w:rPr>
          <w:rStyle w:val="CharStyle13"/>
          <w:lang w:val="en-US" w:eastAsia="en-US"/>
        </w:rPr>
        <w:t xml:space="preserve">2 </w:t>
      </w:r>
      <w:r>
        <w:rPr>
          <w:rStyle w:val="CharStyle13"/>
        </w:rPr>
        <w:t xml:space="preserve">части </w:t>
      </w:r>
      <w:r>
        <w:rPr>
          <w:rStyle w:val="CharStyle13"/>
          <w:lang w:val="en-US" w:eastAsia="en-US"/>
        </w:rPr>
        <w:t xml:space="preserve">3 </w:t>
      </w:r>
      <w:r>
        <w:rPr>
          <w:rStyle w:val="CharStyle13"/>
        </w:rPr>
        <w:t xml:space="preserve">статьи </w:t>
      </w:r>
      <w:r>
        <w:rPr>
          <w:rStyle w:val="CharStyle13"/>
          <w:lang w:val="en-US" w:eastAsia="en-US"/>
        </w:rPr>
        <w:t xml:space="preserve">42 </w:t>
      </w:r>
      <w:r>
        <w:rPr>
          <w:rStyle w:val="CharStyle13"/>
        </w:rPr>
        <w:t>Закона о контрактной системе извещение об осуществлении закупки размещается при проведении электронного аукциона в случае если начальная (максимальная) цена контракта не превышает триста миллионов рублей не менее чем за семь дней до даты окончания срока подачи заявок на участие в закупке.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двенадцатый довод подателя жалобы не находит своего подтверждения и признается необоснованным.</w:t>
      </w:r>
    </w:p>
    <w:p>
      <w:pPr>
        <w:pStyle w:val="Style12"/>
        <w:keepNext w:val="0"/>
        <w:keepLines w:val="0"/>
        <w:widowControl w:val="0"/>
        <w:numPr>
          <w:ilvl w:val="0"/>
          <w:numId w:val="15"/>
        </w:numPr>
        <w:shd w:val="clear" w:color="auto" w:fill="auto"/>
        <w:tabs>
          <w:tab w:pos="1190" w:val="left"/>
        </w:tabs>
        <w:bidi w:val="0"/>
        <w:spacing w:before="0" w:after="0" w:line="240" w:lineRule="auto"/>
        <w:ind w:left="0" w:right="0" w:firstLine="720"/>
        <w:jc w:val="both"/>
      </w:pPr>
      <w:r>
        <w:rPr>
          <w:rStyle w:val="CharStyle13"/>
        </w:rPr>
        <w:t>Податель жалобы указывает на незаконность требований заказчика об актировании переписке и иных действиях, связанных с использованием контракта в сторонних программных продуктах, кроме ЕИС.</w:t>
      </w:r>
    </w:p>
    <w:p>
      <w:pPr>
        <w:pStyle w:val="Style12"/>
        <w:keepNext w:val="0"/>
        <w:keepLines w:val="0"/>
        <w:widowControl w:val="0"/>
        <w:shd w:val="clear" w:color="auto" w:fill="auto"/>
        <w:bidi w:val="0"/>
        <w:spacing w:before="0" w:after="0" w:line="240" w:lineRule="auto"/>
        <w:ind w:left="0" w:right="0" w:firstLine="720"/>
        <w:jc w:val="both"/>
      </w:pPr>
      <w:r>
        <w:rPr>
          <w:rStyle w:val="CharStyle13"/>
        </w:rPr>
        <w:t>Извещение об осуществлении закупки не содержит указываемых документов, требования связанные с исполнением контракта в сторонних программных продуктах кроме ЕИС отсутствуют.</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тринадцатый довод подателя жалобы не находит своего подтверждения и признается необоснованным.</w:t>
      </w:r>
    </w:p>
    <w:p>
      <w:pPr>
        <w:pStyle w:val="Style12"/>
        <w:keepNext w:val="0"/>
        <w:keepLines w:val="0"/>
        <w:widowControl w:val="0"/>
        <w:shd w:val="clear" w:color="auto" w:fill="auto"/>
        <w:bidi w:val="0"/>
        <w:spacing w:before="0" w:after="0" w:line="240" w:lineRule="auto"/>
        <w:ind w:left="0" w:right="0" w:firstLine="720"/>
        <w:jc w:val="both"/>
      </w:pPr>
      <w:r>
        <w:rPr>
          <w:rStyle w:val="CharStyle13"/>
        </w:rPr>
        <w:t>Ссылки подателя жалобы на то, что обоснованность ряда его доводов подтверждаются практикой территориальных органов ФАС России по аналогичным закупкам по жалобам подателя жалобы не может быть принята во внимание, поскольку предметом рассмотрения Комиссии является конкретная закупка, Комиссия обязана принимать решение в отношении конкретных обстоятельств каждой конкретной закупки, Комиссии не известны подробности обстоятельств иных закупок и пояснения заказчиков. Более того имеется также практика территориальных органов ФАС России по аналогичным закупкам по жалобам подателя жалобы, признанных необоснованными.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 xml:space="preserve">При этом, учитывая предусмотренную частью </w:t>
      </w:r>
      <w:r>
        <w:rPr>
          <w:rStyle w:val="CharStyle13"/>
          <w:lang w:val="en-US" w:eastAsia="en-US"/>
        </w:rPr>
        <w:t xml:space="preserve">3 </w:t>
      </w:r>
      <w:r>
        <w:rPr>
          <w:rStyle w:val="CharStyle13"/>
        </w:rPr>
        <w:t xml:space="preserve">статьи </w:t>
      </w:r>
      <w:r>
        <w:rPr>
          <w:rStyle w:val="CharStyle13"/>
          <w:lang w:val="en-US" w:eastAsia="en-US"/>
        </w:rPr>
        <w:t xml:space="preserve">106 </w:t>
      </w:r>
      <w:r>
        <w:rPr>
          <w:rStyle w:val="CharStyle13"/>
        </w:rPr>
        <w:t>Закона о контрактной системе императивную обязанность контрольного органа в сфере закупок рассмотреть жалобу по существу в течение пяти рабочих дней с даты поступления такой жалобы, в отсутствие возможности</w:t>
      </w:r>
      <w:r>
        <w:br w:type="page"/>
      </w:r>
    </w:p>
    <w:p>
      <w:pPr>
        <w:pStyle w:val="Style12"/>
        <w:keepNext w:val="0"/>
        <w:keepLines w:val="0"/>
        <w:widowControl w:val="0"/>
        <w:shd w:val="clear" w:color="auto" w:fill="auto"/>
        <w:bidi w:val="0"/>
        <w:spacing w:before="0" w:after="0" w:line="240" w:lineRule="auto"/>
        <w:ind w:left="0" w:right="0" w:firstLine="0"/>
        <w:jc w:val="both"/>
      </w:pPr>
      <w:r>
        <w:rPr>
          <w:rStyle w:val="CharStyle13"/>
        </w:rPr>
        <w:t>продления срока рассмотрения такой жалобы по какой-либо причине, в том числе, по причине необходимости получения результатов проверки органом внутреннего государственного (муниципального) финансового контроля действий субъекта контроля в части правомерности обоснования начальной (максимальной) цены контракта при проведении закупки, у Комиссии отсутствуют правовые основания для удовлетворения ходатайства подателя жалобы в рассматриваемой части.</w:t>
      </w:r>
    </w:p>
    <w:p>
      <w:pPr>
        <w:pStyle w:val="Style12"/>
        <w:keepNext w:val="0"/>
        <w:keepLines w:val="0"/>
        <w:widowControl w:val="0"/>
        <w:shd w:val="clear" w:color="auto" w:fill="auto"/>
        <w:bidi w:val="0"/>
        <w:spacing w:before="0" w:after="0" w:line="240" w:lineRule="auto"/>
        <w:ind w:left="0" w:right="0" w:firstLine="720"/>
        <w:jc w:val="both"/>
      </w:pPr>
      <w:r>
        <w:rPr>
          <w:rStyle w:val="CharStyle13"/>
        </w:rPr>
        <w:t>Таким образом, проанализировав положения извещения об осуществлении закупки, а также приложенные к нему электронные документы, Комиссия не установила в действиях заказчика по их формированию нарушений Закона о контрактной системе.</w:t>
      </w:r>
    </w:p>
    <w:p>
      <w:pPr>
        <w:pStyle w:val="Style12"/>
        <w:keepNext w:val="0"/>
        <w:keepLines w:val="0"/>
        <w:widowControl w:val="0"/>
        <w:shd w:val="clear" w:color="auto" w:fill="auto"/>
        <w:bidi w:val="0"/>
        <w:spacing w:before="0" w:after="0" w:line="240" w:lineRule="auto"/>
        <w:ind w:left="0" w:right="0" w:firstLine="720"/>
        <w:jc w:val="both"/>
      </w:pPr>
      <w:r>
        <w:rPr>
          <w:rStyle w:val="CharStyle13"/>
        </w:rPr>
        <w:t>Нарушений в части формирования проекта контракта, вопреки указанию подателя жалобы Комиссией также не установлено.</w:t>
      </w:r>
    </w:p>
    <w:p>
      <w:pPr>
        <w:pStyle w:val="Style12"/>
        <w:keepNext w:val="0"/>
        <w:keepLines w:val="0"/>
        <w:widowControl w:val="0"/>
        <w:shd w:val="clear" w:color="auto" w:fill="auto"/>
        <w:bidi w:val="0"/>
        <w:spacing w:before="0" w:after="240" w:line="240" w:lineRule="auto"/>
        <w:ind w:left="0" w:right="0" w:firstLine="720"/>
        <w:jc w:val="both"/>
      </w:pPr>
      <w:r>
        <w:rPr>
          <w:rStyle w:val="CharStyle13"/>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частью </w:t>
      </w:r>
      <w:r>
        <w:rPr>
          <w:rStyle w:val="CharStyle13"/>
          <w:lang w:val="en-US" w:eastAsia="en-US"/>
        </w:rPr>
        <w:t xml:space="preserve">3, </w:t>
      </w:r>
      <w:r>
        <w:rPr>
          <w:rStyle w:val="CharStyle13"/>
        </w:rPr>
        <w:t xml:space="preserve">пунктом </w:t>
      </w:r>
      <w:r>
        <w:rPr>
          <w:rStyle w:val="CharStyle13"/>
          <w:lang w:val="en-US" w:eastAsia="en-US"/>
        </w:rPr>
        <w:t xml:space="preserve">3 </w:t>
      </w:r>
      <w:r>
        <w:rPr>
          <w:rStyle w:val="CharStyle13"/>
        </w:rPr>
        <w:t xml:space="preserve">части </w:t>
      </w:r>
      <w:r>
        <w:rPr>
          <w:rStyle w:val="CharStyle13"/>
          <w:lang w:val="en-US" w:eastAsia="en-US"/>
        </w:rPr>
        <w:t xml:space="preserve">8 </w:t>
      </w:r>
      <w:r>
        <w:rPr>
          <w:rStyle w:val="CharStyle13"/>
        </w:rPr>
        <w:t xml:space="preserve">частью </w:t>
      </w:r>
      <w:r>
        <w:rPr>
          <w:rStyle w:val="CharStyle13"/>
          <w:lang w:val="en-US" w:eastAsia="en-US"/>
        </w:rPr>
        <w:t xml:space="preserve">15 </w:t>
      </w:r>
      <w:r>
        <w:rPr>
          <w:rStyle w:val="CharStyle13"/>
        </w:rPr>
        <w:t xml:space="preserve">статьи </w:t>
      </w:r>
      <w:r>
        <w:rPr>
          <w:rStyle w:val="CharStyle13"/>
          <w:lang w:val="en-US" w:eastAsia="en-US"/>
        </w:rPr>
        <w:t xml:space="preserve">99, </w:t>
      </w:r>
      <w:r>
        <w:rPr>
          <w:rStyle w:val="CharStyle13"/>
        </w:rPr>
        <w:t xml:space="preserve">частью </w:t>
      </w:r>
      <w:r>
        <w:rPr>
          <w:rStyle w:val="CharStyle13"/>
          <w:lang w:val="en-US" w:eastAsia="en-US"/>
        </w:rPr>
        <w:t xml:space="preserve">8 </w:t>
      </w:r>
      <w:r>
        <w:rPr>
          <w:rStyle w:val="CharStyle13"/>
        </w:rPr>
        <w:t xml:space="preserve">статьи </w:t>
      </w:r>
      <w:r>
        <w:rPr>
          <w:rStyle w:val="CharStyle13"/>
          <w:lang w:val="en-US" w:eastAsia="en-US"/>
        </w:rPr>
        <w:t xml:space="preserve">106 </w:t>
      </w:r>
      <w:r>
        <w:rPr>
          <w:rStyle w:val="CharStyle13"/>
        </w:rPr>
        <w:t>Закона о контрактной системе Комиссия Красноярского УФАС России</w:t>
      </w:r>
    </w:p>
    <w:p>
      <w:pPr>
        <w:pStyle w:val="Style12"/>
        <w:keepNext w:val="0"/>
        <w:keepLines w:val="0"/>
        <w:widowControl w:val="0"/>
        <w:shd w:val="clear" w:color="auto" w:fill="auto"/>
        <w:bidi w:val="0"/>
        <w:spacing w:before="0" w:after="240" w:line="240" w:lineRule="auto"/>
        <w:ind w:left="0" w:right="0" w:firstLine="0"/>
        <w:jc w:val="center"/>
      </w:pPr>
      <w:r>
        <w:rPr>
          <w:rStyle w:val="CharStyle13"/>
        </w:rPr>
        <w:t>РЕШИЛА:</w:t>
      </w:r>
    </w:p>
    <w:p>
      <w:pPr>
        <w:pStyle w:val="Style12"/>
        <w:keepNext w:val="0"/>
        <w:keepLines w:val="0"/>
        <w:widowControl w:val="0"/>
        <w:numPr>
          <w:ilvl w:val="0"/>
          <w:numId w:val="17"/>
        </w:numPr>
        <w:shd w:val="clear" w:color="auto" w:fill="auto"/>
        <w:tabs>
          <w:tab w:pos="1102" w:val="left"/>
        </w:tabs>
        <w:bidi w:val="0"/>
        <w:spacing w:before="0" w:after="0" w:line="240" w:lineRule="auto"/>
        <w:ind w:left="0" w:right="0" w:firstLine="720"/>
        <w:jc w:val="both"/>
      </w:pPr>
      <w:r>
        <w:rPr>
          <w:rStyle w:val="CharStyle13"/>
        </w:rPr>
        <w:t>Признать жалобу ИП Кравченко А.В. необоснованной.</w:t>
      </w:r>
    </w:p>
    <w:p>
      <w:pPr>
        <w:pStyle w:val="Style12"/>
        <w:keepNext w:val="0"/>
        <w:keepLines w:val="0"/>
        <w:widowControl w:val="0"/>
        <w:numPr>
          <w:ilvl w:val="0"/>
          <w:numId w:val="17"/>
        </w:numPr>
        <w:shd w:val="clear" w:color="auto" w:fill="auto"/>
        <w:tabs>
          <w:tab w:pos="1093" w:val="left"/>
        </w:tabs>
        <w:bidi w:val="0"/>
        <w:spacing w:before="0" w:after="0" w:line="240" w:lineRule="auto"/>
        <w:ind w:left="0" w:right="0" w:firstLine="720"/>
        <w:jc w:val="both"/>
      </w:pPr>
      <w:r>
        <w:rPr>
          <w:rStyle w:val="CharStyle13"/>
        </w:rPr>
        <w:t>Передать материалы по жалобе ИП Кравченко А.В. в адрес Службы финансового и экономического контроля и контроля в сфере закупок Красноярского края для рассмотрения по существу в части соблюдения субъектами контроля требований законодательства о контрактной системе в сфере закупок при определении и обосновании начальной (максимальной) цены контракта.</w:t>
      </w:r>
    </w:p>
    <w:p>
      <w:pPr>
        <w:pStyle w:val="Style12"/>
        <w:keepNext w:val="0"/>
        <w:keepLines w:val="0"/>
        <w:widowControl w:val="0"/>
        <w:shd w:val="clear" w:color="auto" w:fill="auto"/>
        <w:bidi w:val="0"/>
        <w:spacing w:before="0" w:after="580" w:line="240" w:lineRule="auto"/>
        <w:ind w:left="0" w:right="0" w:firstLine="720"/>
        <w:jc w:val="both"/>
      </w:pPr>
      <w:r>
        <w:rPr>
          <w:rStyle w:val="CharStyle13"/>
        </w:rPr>
        <w:t>Настоящее решение может быть обжаловано в Арбитражный суд Красноярского края в течение трех месяцев со дня его принятия в порядке, установленном законодательством Российской Федерации.</w:t>
      </w:r>
    </w:p>
    <w:p>
      <w:pPr>
        <w:pStyle w:val="Style12"/>
        <w:keepNext w:val="0"/>
        <w:keepLines w:val="0"/>
        <w:widowControl w:val="0"/>
        <w:shd w:val="clear" w:color="auto" w:fill="auto"/>
        <w:bidi w:val="0"/>
        <w:spacing w:before="0" w:after="580" w:line="240" w:lineRule="auto"/>
        <w:ind w:left="0" w:right="0" w:firstLine="0"/>
        <w:jc w:val="left"/>
      </w:pPr>
      <w:r>
        <mc:AlternateContent>
          <mc:Choice Requires="wps">
            <w:drawing>
              <wp:anchor distT="0" distB="575945" distL="114300" distR="114300" simplePos="0" relativeHeight="125829378" behindDoc="0" locked="0" layoutInCell="1" allowOverlap="1">
                <wp:simplePos x="0" y="0"/>
                <wp:positionH relativeFrom="page">
                  <wp:posOffset>6194425</wp:posOffset>
                </wp:positionH>
                <wp:positionV relativeFrom="paragraph">
                  <wp:posOffset>12700</wp:posOffset>
                </wp:positionV>
                <wp:extent cx="956945" cy="216535"/>
                <wp:wrapSquare wrapText="left"/>
                <wp:docPr id="7" name="Shape 7"/>
                <a:graphic xmlns:a="http://schemas.openxmlformats.org/drawingml/2006/main">
                  <a:graphicData uri="http://schemas.microsoft.com/office/word/2010/wordprocessingShape">
                    <wps:wsp>
                      <wps:cNvSpPr txBox="1"/>
                      <wps:spPr>
                        <a:xfrm>
                          <a:ext cx="956945"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wps:txbx>
                      <wps:bodyPr wrap="none" lIns="0" tIns="0" rIns="0" bIns="0">
                        <a:noAutoFit/>
                      </wps:bodyPr>
                    </wps:wsp>
                  </a:graphicData>
                </a:graphic>
              </wp:anchor>
            </w:drawing>
          </mc:Choice>
          <mc:Fallback>
            <w:pict>
              <v:shape id="_x0000_s1033" type="#_x0000_t202" style="position:absolute;margin-left:487.75pt;margin-top:1.pt;width:75.350000000000009pt;height:17.050000000000001pt;z-index:-125829375;mso-wrap-distance-left:9.pt;mso-wrap-distance-right:9.pt;mso-wrap-distance-bottom:45.350000000000001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Е.О. Хорышев</w:t>
                      </w:r>
                    </w:p>
                  </w:txbxContent>
                </v:textbox>
                <w10:wrap type="square" side="left" anchorx="page"/>
              </v:shape>
            </w:pict>
          </mc:Fallback>
        </mc:AlternateContent>
      </w:r>
      <w:r>
        <mc:AlternateContent>
          <mc:Choice Requires="wps">
            <w:drawing>
              <wp:anchor distT="575945" distB="0" distL="260350" distR="123825" simplePos="0" relativeHeight="125829380" behindDoc="0" locked="0" layoutInCell="1" allowOverlap="1">
                <wp:simplePos x="0" y="0"/>
                <wp:positionH relativeFrom="page">
                  <wp:posOffset>6340475</wp:posOffset>
                </wp:positionH>
                <wp:positionV relativeFrom="paragraph">
                  <wp:posOffset>588645</wp:posOffset>
                </wp:positionV>
                <wp:extent cx="801370" cy="216535"/>
                <wp:wrapSquare wrapText="left"/>
                <wp:docPr id="9" name="Shape 9"/>
                <a:graphic xmlns:a="http://schemas.openxmlformats.org/drawingml/2006/main">
                  <a:graphicData uri="http://schemas.microsoft.com/office/word/2010/wordprocessingShape">
                    <wps:wsp>
                      <wps:cNvSpPr txBox="1"/>
                      <wps:spPr>
                        <a:xfrm>
                          <a:ext cx="801370" cy="21653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wps:txbx>
                      <wps:bodyPr wrap="none" lIns="0" tIns="0" rIns="0" bIns="0">
                        <a:noAutoFit/>
                      </wps:bodyPr>
                    </wps:wsp>
                  </a:graphicData>
                </a:graphic>
              </wp:anchor>
            </w:drawing>
          </mc:Choice>
          <mc:Fallback>
            <w:pict>
              <v:shape id="_x0000_s1035" type="#_x0000_t202" style="position:absolute;margin-left:499.25pt;margin-top:46.350000000000001pt;width:63.100000000000001pt;height:17.050000000000001pt;z-index:-125829373;mso-wrap-distance-left:20.5pt;mso-wrap-distance-top:45.350000000000001pt;mso-wrap-distance-right:9.75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right"/>
                      </w:pPr>
                      <w:r>
                        <w:rPr>
                          <w:rStyle w:val="CharStyle13"/>
                        </w:rPr>
                        <w:t>К.С. Варава</w:t>
                      </w:r>
                    </w:p>
                  </w:txbxContent>
                </v:textbox>
                <w10:wrap type="square" side="left" anchorx="page"/>
              </v:shape>
            </w:pict>
          </mc:Fallback>
        </mc:AlternateContent>
      </w:r>
      <w:r>
        <w:rPr>
          <w:rStyle w:val="CharStyle13"/>
        </w:rPr>
        <w:t>Председатель Комиссии</w:t>
      </w:r>
    </w:p>
    <w:p>
      <w:pPr>
        <w:pStyle w:val="Style12"/>
        <w:keepNext w:val="0"/>
        <w:keepLines w:val="0"/>
        <w:widowControl w:val="0"/>
        <w:shd w:val="clear" w:color="auto" w:fill="auto"/>
        <w:bidi w:val="0"/>
        <w:spacing w:before="0" w:after="580" w:line="240" w:lineRule="auto"/>
        <w:ind w:left="0" w:right="0" w:firstLine="0"/>
        <w:jc w:val="left"/>
      </w:pPr>
      <w:r>
        <w:rPr>
          <w:rStyle w:val="CharStyle13"/>
        </w:rPr>
        <w:t>Члены Комиссии</w:t>
      </w:r>
    </w:p>
    <w:p>
      <w:pPr>
        <w:pStyle w:val="Style12"/>
        <w:keepNext w:val="0"/>
        <w:keepLines w:val="0"/>
        <w:widowControl w:val="0"/>
        <w:shd w:val="clear" w:color="auto" w:fill="auto"/>
        <w:bidi w:val="0"/>
        <w:spacing w:before="0" w:after="3580" w:line="240" w:lineRule="auto"/>
        <w:ind w:left="0" w:right="0" w:firstLine="0"/>
        <w:jc w:val="right"/>
      </w:pPr>
      <w:r>
        <w:rPr>
          <w:rStyle w:val="CharStyle13"/>
        </w:rPr>
        <w:t>А.Р. Мулагалеев</w:t>
      </w:r>
    </w:p>
    <w:p>
      <w:pPr>
        <w:pStyle w:val="Style12"/>
        <w:keepNext w:val="0"/>
        <w:keepLines w:val="0"/>
        <w:widowControl w:val="0"/>
        <w:shd w:val="clear" w:color="auto" w:fill="auto"/>
        <w:bidi w:val="0"/>
        <w:spacing w:before="0" w:after="0" w:line="240" w:lineRule="auto"/>
        <w:ind w:left="0" w:right="0" w:firstLine="0"/>
        <w:jc w:val="left"/>
        <w:rPr>
          <w:sz w:val="22"/>
          <w:szCs w:val="22"/>
        </w:rPr>
      </w:pPr>
      <w:r>
        <w:rPr>
          <w:rStyle w:val="CharStyle13"/>
          <w:sz w:val="22"/>
          <w:szCs w:val="22"/>
        </w:rPr>
        <w:t>Исп.Мулагалеев А.Р.</w:t>
      </w:r>
    </w:p>
    <w:p>
      <w:pPr>
        <w:pStyle w:val="Style12"/>
        <w:keepNext w:val="0"/>
        <w:keepLines w:val="0"/>
        <w:widowControl w:val="0"/>
        <w:shd w:val="clear" w:color="auto" w:fill="auto"/>
        <w:bidi w:val="0"/>
        <w:spacing w:before="0" w:after="580" w:line="240" w:lineRule="auto"/>
        <w:ind w:left="0" w:right="0" w:firstLine="0"/>
        <w:jc w:val="left"/>
        <w:rPr>
          <w:sz w:val="22"/>
          <w:szCs w:val="22"/>
        </w:rPr>
      </w:pPr>
      <w:r>
        <w:rPr>
          <w:rStyle w:val="CharStyle13"/>
          <w:sz w:val="22"/>
          <w:szCs w:val="22"/>
        </w:rPr>
        <w:t>тел.8(391)2111830,вн.</w:t>
      </w:r>
    </w:p>
    <w:sectPr>
      <w:footnotePr>
        <w:pos w:val="pageBottom"/>
        <w:numFmt w:val="decimal"/>
        <w:numRestart w:val="continuous"/>
      </w:footnotePr>
      <w:type w:val="continuous"/>
      <w:pgSz w:w="11900" w:h="16840"/>
      <w:pgMar w:top="306" w:right="537" w:bottom="1186"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717550</wp:posOffset>
              </wp:positionH>
              <wp:positionV relativeFrom="page">
                <wp:posOffset>10029825</wp:posOffset>
              </wp:positionV>
              <wp:extent cx="628015" cy="125095"/>
              <wp:wrapNone/>
              <wp:docPr id="3" name="Shape 3"/>
              <a:graphic xmlns:a="http://schemas.openxmlformats.org/drawingml/2006/main">
                <a:graphicData uri="http://schemas.microsoft.com/office/word/2010/wordprocessingShape">
                  <wps:wsp>
                    <wps:cNvSpPr txBox="1"/>
                    <wps:spPr>
                      <a:xfrm>
                        <a:ext cx="62801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2026-6364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5pt;margin-top:789.75pt;width:49.450000000000003pt;height:9.8499999999999996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2026-6364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9854565</wp:posOffset>
              </wp:positionV>
              <wp:extent cx="628015" cy="125095"/>
              <wp:wrapNone/>
              <wp:docPr id="5" name="Shape 5"/>
              <a:graphic xmlns:a="http://schemas.openxmlformats.org/drawingml/2006/main">
                <a:graphicData uri="http://schemas.microsoft.com/office/word/2010/wordprocessingShape">
                  <wps:wsp>
                    <wps:cNvSpPr txBox="1"/>
                    <wps:spPr>
                      <a:xfrm>
                        <a:ext cx="628015"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2026-6364</w:t>
                          </w:r>
                        </w:p>
                      </w:txbxContent>
                    </wps:txbx>
                    <wps:bodyPr wrap="none" lIns="0" tIns="0" rIns="0" bIns="0">
                      <a:spAutoFit/>
                    </wps:bodyPr>
                  </wps:wsp>
                </a:graphicData>
              </a:graphic>
            </wp:anchor>
          </w:drawing>
        </mc:Choice>
        <mc:Fallback>
          <w:pict>
            <v:shape id="_x0000_s1031" type="#_x0000_t202" style="position:absolute;margin-left:56.75pt;margin-top:775.95000000000005pt;width:49.450000000000003pt;height:9.84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2026-6364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0">
    <w:multiLevelType w:val="multilevel"/>
    <w:lvl w:ilvl="0">
      <w:start w:val="5"/>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4">
    <w:multiLevelType w:val="multilevel"/>
    <w:lvl w:ilvl="0">
      <w:start w:val="7"/>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2)_"/>
    <w:basedOn w:val="DefaultParagraphFont"/>
    <w:link w:val="Style5"/>
    <w:rPr>
      <w:rFonts w:ascii="Times New Roman" w:eastAsia="Times New Roman" w:hAnsi="Times New Roman" w:cs="Times New Roman"/>
      <w:b w:val="0"/>
      <w:bCs w:val="0"/>
      <w:i w:val="0"/>
      <w:iCs w:val="0"/>
      <w:smallCaps w:val="0"/>
      <w:strike w:val="0"/>
      <w:color w:val="4460A1"/>
      <w:sz w:val="16"/>
      <w:szCs w:val="16"/>
      <w:u w:val="none"/>
    </w:rPr>
  </w:style>
  <w:style w:type="character" w:customStyle="1" w:styleId="CharStyle9">
    <w:name w:val="Body text (3)_"/>
    <w:basedOn w:val="DefaultParagraphFont"/>
    <w:link w:val="Style8"/>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1">
    <w:name w:val="Picture caption_"/>
    <w:basedOn w:val="DefaultParagraphFont"/>
    <w:link w:val="Style10"/>
    <w:rPr>
      <w:rFonts w:ascii="Times New Roman" w:eastAsia="Times New Roman" w:hAnsi="Times New Roman" w:cs="Times New Roman"/>
      <w:b w:val="0"/>
      <w:bCs w:val="0"/>
      <w:i w:val="0"/>
      <w:iCs w:val="0"/>
      <w:smallCaps w:val="0"/>
      <w:strike w:val="0"/>
      <w:color w:val="4460A1"/>
      <w:sz w:val="18"/>
      <w:szCs w:val="18"/>
      <w:u w:val="none"/>
    </w:rPr>
  </w:style>
  <w:style w:type="character" w:customStyle="1" w:styleId="CharStyle13">
    <w:name w:val="Body text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6"/>
      <w:szCs w:val="36"/>
      <w:u w:val="none"/>
      <w:lang w:val="en-US" w:eastAsia="en-US"/>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2)"/>
    <w:basedOn w:val="Normal"/>
    <w:link w:val="CharStyle6"/>
    <w:pPr>
      <w:widowControl w:val="0"/>
      <w:shd w:val="clear" w:color="auto" w:fill="auto"/>
      <w:spacing w:after="160" w:line="276" w:lineRule="auto"/>
      <w:jc w:val="center"/>
    </w:pPr>
    <w:rPr>
      <w:rFonts w:ascii="Times New Roman" w:eastAsia="Times New Roman" w:hAnsi="Times New Roman" w:cs="Times New Roman"/>
      <w:b w:val="0"/>
      <w:bCs w:val="0"/>
      <w:i w:val="0"/>
      <w:iCs w:val="0"/>
      <w:smallCaps w:val="0"/>
      <w:strike w:val="0"/>
      <w:color w:val="4460A1"/>
      <w:sz w:val="16"/>
      <w:szCs w:val="16"/>
      <w:u w:val="none"/>
    </w:rPr>
  </w:style>
  <w:style w:type="paragraph" w:customStyle="1" w:styleId="Style8">
    <w:name w:val="Body text (3)"/>
    <w:basedOn w:val="Normal"/>
    <w:link w:val="CharStyle9"/>
    <w:pPr>
      <w:widowControl w:val="0"/>
      <w:shd w:val="clear" w:color="auto" w:fill="auto"/>
      <w:spacing w:after="240"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customStyle="1" w:styleId="Style10">
    <w:name w:val="Picture caption"/>
    <w:basedOn w:val="Normal"/>
    <w:link w:val="CharStyle11"/>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460A1"/>
      <w:sz w:val="18"/>
      <w:szCs w:val="18"/>
      <w:u w:val="none"/>
    </w:rPr>
  </w:style>
  <w:style w:type="paragraph" w:styleId="Style12">
    <w:name w:val="Body text"/>
    <w:basedOn w:val="Normal"/>
    <w:link w:val="CharStyle13"/>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4">
    <w:name w:val="Heading #1"/>
    <w:basedOn w:val="Normal"/>
    <w:link w:val="CharStyle15"/>
    <w:pPr>
      <w:widowControl w:val="0"/>
      <w:shd w:val="clear" w:color="auto" w:fill="auto"/>
      <w:spacing w:after="340"/>
      <w:outlineLvl w:val="0"/>
    </w:pPr>
    <w:rPr>
      <w:rFonts w:ascii="Arial" w:eastAsia="Arial" w:hAnsi="Arial" w:cs="Arial"/>
      <w:b w:val="0"/>
      <w:bCs w:val="0"/>
      <w:i w:val="0"/>
      <w:iCs w:val="0"/>
      <w:smallCaps w:val="0"/>
      <w:strike w:val="0"/>
      <w:sz w:val="36"/>
      <w:szCs w:val="36"/>
      <w:u w:val="none"/>
      <w:lang w:val="en-US" w:eastAsia="en-US"/>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footer" Target="footer2.xml"/></Relationships>
</file>