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 xml:space="preserve">ГБУЗ «МНПЦЛИ ДЗМ» </w:t>
      </w:r>
      <w:r>
        <w:fldChar w:fldCharType="begin"/>
      </w:r>
      <w:r>
        <w:rPr/>
        <w:instrText> HYPERLINK "mailto:dcli@zdrav.mos.ru" </w:instrText>
      </w:r>
      <w:r>
        <w:fldChar w:fldCharType="separate"/>
      </w:r>
      <w:r>
        <w:rPr>
          <w:rStyle w:val="CharStyle7"/>
          <w:lang w:val="en-US" w:eastAsia="en-US"/>
        </w:rPr>
        <w:t>dcli@zdrav.mos.ru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 xml:space="preserve">ИП Кравченко А.В.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7"/>
          <w:lang w:val="en-US" w:eastAsia="en-US"/>
        </w:rPr>
        <w:t>info@gosfarm.ru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040" w:right="0" w:firstLine="0"/>
        <w:jc w:val="both"/>
      </w:pP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077/06/105-5228/2026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27.04.2026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 -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</w:t>
      </w:r>
      <w:r>
        <w:rPr>
          <w:rStyle w:val="CharStyle7"/>
          <w:b/>
          <w:bCs/>
        </w:rPr>
        <w:t>от 27.04.2026 по делу № 077/06/105-5228/2026</w:t>
      </w:r>
      <w:r>
        <w:rPr>
          <w:rStyle w:val="CharStyle7"/>
        </w:rPr>
        <w:t>, по итогам рассмотрения жалобы ИП Кравченко А.В. (далее — Заявитель) на действия ГБУЗ «МНПЦЛИ ДЗМ» (далее — Заказчик) при проведении электронного аукциона на право заключения государственного контракта на поставку секвенатора нуклеиновых кислот ИВД для нужд ГБУЗ «МНПЦЛИ ДЗМ» (Закупка № 0173200001426000662)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280" w:line="240" w:lineRule="auto"/>
        <w:ind w:left="0" w:right="0" w:firstLine="700"/>
        <w:jc w:val="both"/>
      </w:pPr>
      <w:r>
        <w:drawing>
          <wp:anchor distT="13970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077/06/105-5228/2026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077/06/105-5228/2026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</w:t>
      </w:r>
      <w:r>
        <w:rPr>
          <w:rStyle w:val="CharStyle7"/>
          <w:b/>
          <w:bCs/>
        </w:rPr>
        <w:t xml:space="preserve">в срок до </w:t>
      </w:r>
      <w:r>
        <w:rPr>
          <w:rStyle w:val="CharStyle7"/>
          <w:b/>
          <w:bCs/>
          <w:lang w:val="en-US" w:eastAsia="en-US"/>
        </w:rPr>
        <w:t xml:space="preserve">27.05.2026 </w:t>
      </w:r>
      <w:r>
        <w:rPr>
          <w:rStyle w:val="CharStyle7"/>
          <w:b/>
          <w:bCs/>
        </w:rPr>
        <w:t xml:space="preserve">представить в Московское УФАС России </w:t>
      </w:r>
      <w:r>
        <w:rPr>
          <w:rStyle w:val="CharStyle7"/>
        </w:rPr>
        <w:t xml:space="preserve">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077/06/105-5228/2026 </w:t>
      </w:r>
      <w:r>
        <w:rPr>
          <w:rStyle w:val="CharStyle7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263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40995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26.pt;width:145.20000000000002pt;height:19.699999999999999pt;z-index:-125829371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400050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805180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0000000000001pt;margin-top:63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38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0995" distL="0" distR="0" simplePos="0" relativeHeight="125829385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10000000000002pt;margin-top:26.pt;width:102.95pt;height:19.699999999999999pt;z-index:-125829368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Кутейников Антон Андреевич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67950889C45403E5BD9EBC88A8D80C0D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19.05.2025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Леонова Алена Альбертовна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276EF4D805B62E966E204BCBEB72461C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7"/>
        </w:rPr>
        <w:t xml:space="preserve">Действителен с 05.12.2025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75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Матюшенко Александр Александрович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4F595A5C3E5ABB2DD77161F08559FC07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0" w:line="266" w:lineRule="auto"/>
        <w:ind w:right="0" w:firstLine="0"/>
        <w:jc w:val="left"/>
      </w:pPr>
      <w:r>
        <w:rPr>
          <w:rStyle w:val="CharStyle17"/>
        </w:rPr>
        <w:t xml:space="preserve">Действителен с 22.07.2025 </w:t>
      </w:r>
      <w:r>
        <w:rPr>
          <w:rStyle w:val="CharStyle17"/>
          <w:color w:val="5D5D5D"/>
        </w:rPr>
        <w:t xml:space="preserve">по </w:t>
      </w:r>
      <w:r>
        <w:rPr>
          <w:rStyle w:val="CharStyle17"/>
        </w:rPr>
        <w:t>15.10.2026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1628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2026-21011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3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2026-21011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10217150</wp:posOffset>
              </wp:positionV>
              <wp:extent cx="72517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2026-21011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4.5pt;width:57.1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2026-21011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40.100000000000001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2">
    <w:name w:val="Body text (5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