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3632835</wp:posOffset>
            </wp:positionH>
            <wp:positionV relativeFrom="margin">
              <wp:posOffset>0</wp:posOffset>
            </wp:positionV>
            <wp:extent cx="536575" cy="65849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58495"/>
                    </a:xfrm>
                    <a:prstGeom prst="rect"/>
                  </pic:spPr>
                </pic:pic>
              </a:graphicData>
            </a:graphic>
          </wp:anchor>
        </w:drawing>
      </w:r>
    </w:p>
    <w:p>
      <w:pPr>
        <w:widowControl w:val="0"/>
        <w:spacing w:after="676" w:line="1" w:lineRule="exact"/>
      </w:pPr>
    </w:p>
    <w:p>
      <w:pPr>
        <w:widowControl w:val="0"/>
        <w:spacing w:line="1" w:lineRule="exact"/>
        <w:sectPr>
          <w:headerReference w:type="default" r:id="rId7"/>
          <w:headerReference w:type="first" r:id="rId8"/>
          <w:footnotePr>
            <w:pos w:val="pageBottom"/>
            <w:numFmt w:val="decimal"/>
            <w:numRestart w:val="continuous"/>
          </w:footnotePr>
          <w:pgSz w:w="11900" w:h="16840"/>
          <w:pgMar w:top="1097" w:right="731" w:bottom="971" w:left="1195" w:header="0" w:footer="3" w:gutter="0"/>
          <w:pgNumType w:start="1"/>
          <w:cols w:space="720"/>
          <w:noEndnote/>
          <w:titlePg/>
          <w:rtlGutter w:val="0"/>
          <w:docGrid w:linePitch="360"/>
        </w:sectPr>
      </w:pP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453" w:right="0" w:bottom="915" w:left="0" w:header="0" w:footer="3" w:gutter="0"/>
          <w:cols w:space="720"/>
          <w:noEndnote/>
          <w:rtlGutter w:val="0"/>
          <w:docGrid w:linePitch="360"/>
        </w:sectPr>
      </w:pPr>
    </w:p>
    <w:p>
      <w:pPr>
        <w:pStyle w:val="Style2"/>
        <w:keepNext w:val="0"/>
        <w:keepLines w:val="0"/>
        <w:widowControl w:val="0"/>
        <w:shd w:val="clear" w:color="auto" w:fill="auto"/>
        <w:bidi w:val="0"/>
        <w:spacing w:before="0" w:after="320" w:line="240" w:lineRule="auto"/>
        <w:ind w:left="0" w:right="0" w:firstLine="680"/>
        <w:jc w:val="left"/>
      </w:pPr>
      <w:r>
        <w:rPr>
          <w:rStyle w:val="CharStyle3"/>
          <w:b/>
          <w:bCs/>
        </w:rPr>
        <w:t>КОНТРОЛЬНОЕ УПРАВЛЕНИЕ НОВОСИБИРСКОЙ ОБЛАСТИ</w:t>
      </w:r>
    </w:p>
    <w:p>
      <w:pPr>
        <w:pStyle w:val="Style2"/>
        <w:keepNext w:val="0"/>
        <w:keepLines w:val="0"/>
        <w:widowControl w:val="0"/>
        <w:shd w:val="clear" w:color="auto" w:fill="auto"/>
        <w:bidi w:val="0"/>
        <w:spacing w:before="0" w:after="320" w:line="254" w:lineRule="auto"/>
        <w:ind w:left="0" w:right="0" w:firstLine="0"/>
        <w:jc w:val="center"/>
      </w:pPr>
      <w:r>
        <w:rPr>
          <w:rStyle w:val="CharStyle3"/>
          <w:b/>
          <w:bCs/>
        </w:rPr>
        <w:t>РЕШЕНИЕ № 02-09-01/2026</w:t>
        <w:br/>
        <w:t>по результатам рассмотрения жалобы о нарушении законодательства</w:t>
        <w:br/>
        <w:t>при осуществлении закупки</w:t>
      </w:r>
    </w:p>
    <w:p>
      <w:pPr>
        <w:pStyle w:val="Style2"/>
        <w:keepNext w:val="0"/>
        <w:keepLines w:val="0"/>
        <w:widowControl w:val="0"/>
        <w:shd w:val="clear" w:color="auto" w:fill="auto"/>
        <w:bidi w:val="0"/>
        <w:spacing w:before="0" w:after="0" w:line="240" w:lineRule="auto"/>
        <w:ind w:left="0" w:right="0" w:firstLine="0"/>
        <w:jc w:val="left"/>
      </w:pPr>
      <w:r>
        <w:rPr>
          <w:rStyle w:val="CharStyle3"/>
        </w:rPr>
        <w:t>Резолютивная часть решения объявлена 27.04.2026</w:t>
      </w:r>
    </w:p>
    <w:p>
      <w:pPr>
        <w:pStyle w:val="Style2"/>
        <w:keepNext w:val="0"/>
        <w:keepLines w:val="0"/>
        <w:widowControl w:val="0"/>
        <w:shd w:val="clear" w:color="auto" w:fill="auto"/>
        <w:bidi w:val="0"/>
        <w:spacing w:before="0" w:after="6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5839460</wp:posOffset>
                </wp:positionH>
                <wp:positionV relativeFrom="paragraph">
                  <wp:posOffset>12700</wp:posOffset>
                </wp:positionV>
                <wp:extent cx="1203960" cy="210185"/>
                <wp:wrapSquare wrapText="left"/>
                <wp:docPr id="5" name="Shape 5"/>
                <a:graphic xmlns:a="http://schemas.openxmlformats.org/drawingml/2006/main">
                  <a:graphicData uri="http://schemas.microsoft.com/office/word/2010/wordprocessingShape">
                    <wps:wsp>
                      <wps:cNvSpPr txBox="1"/>
                      <wps:spPr>
                        <a:xfrm>
                          <a:ext cx="120396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г. Новосибирск</w:t>
                            </w:r>
                          </w:p>
                        </w:txbxContent>
                      </wps:txbx>
                      <wps:bodyPr wrap="none" lIns="0" tIns="0" rIns="0" bIns="0">
                        <a:noAutoFit/>
                      </wps:bodyPr>
                    </wps:wsp>
                  </a:graphicData>
                </a:graphic>
              </wp:anchor>
            </w:drawing>
          </mc:Choice>
          <mc:Fallback>
            <w:pict>
              <v:shape id="_x0000_s1031" type="#_x0000_t202" style="position:absolute;margin-left:459.80000000000001pt;margin-top:1.pt;width:94.799999999999997pt;height:16.55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г. Новосибирск</w:t>
                      </w:r>
                    </w:p>
                  </w:txbxContent>
                </v:textbox>
                <w10:wrap type="square" side="left" anchorx="page"/>
              </v:shape>
            </w:pict>
          </mc:Fallback>
        </mc:AlternateContent>
      </w:r>
      <w:r>
        <w:rPr>
          <w:rStyle w:val="CharStyle3"/>
        </w:rPr>
        <w:t>Полный текст решения изготовлен 27.04.2026</w:t>
      </w:r>
    </w:p>
    <w:p>
      <w:pPr>
        <w:pStyle w:val="Style2"/>
        <w:keepNext w:val="0"/>
        <w:keepLines w:val="0"/>
        <w:widowControl w:val="0"/>
        <w:shd w:val="clear" w:color="auto" w:fill="auto"/>
        <w:bidi w:val="0"/>
        <w:spacing w:before="0" w:after="0" w:line="259" w:lineRule="auto"/>
        <w:ind w:left="0" w:right="0" w:firstLine="700"/>
        <w:jc w:val="both"/>
      </w:pPr>
      <w:r>
        <w:rPr>
          <w:rStyle w:val="CharStyle3"/>
        </w:rPr>
        <w:t>Комиссия контрольного управления Новосибирской области для рассмотрения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отношении закупок для обеспечения нужд Новосибирской области и муниципальных нужд муниципальных образований, находящихся на территории Новосибирской области (далее - Комиссия) в составе: руководителя комиссии - заместителя начальника отдела контроля в сфере закупок контрольного управления Новосибирской области - Исмайловой Любови Юрьевны, членов комиссии: консультанта отдела контроля в сфере закупок контрольного управления Новосибирской области Юнг Ольги Викторовны, консультанта отдела контроля в сфере закупок контрольного управления Новосибирской области Рогожиной Ольги Сергеевны,</w:t>
      </w:r>
    </w:p>
    <w:p>
      <w:pPr>
        <w:pStyle w:val="Style2"/>
        <w:keepNext w:val="0"/>
        <w:keepLines w:val="0"/>
        <w:widowControl w:val="0"/>
        <w:shd w:val="clear" w:color="auto" w:fill="auto"/>
        <w:bidi w:val="0"/>
        <w:spacing w:before="0" w:after="0" w:line="259" w:lineRule="auto"/>
        <w:ind w:left="0" w:right="0" w:firstLine="700"/>
        <w:jc w:val="both"/>
      </w:pPr>
      <w:r>
        <w:rPr>
          <w:rStyle w:val="CharStyle3"/>
        </w:rPr>
        <w:t>в отсутствие представителя подателя жалобы (уведомлен надлежащим образом 22.04.2026), в отсутствие представителя заказчика (ходатайство от 23.04.2026 № 398/24.044),</w:t>
      </w:r>
    </w:p>
    <w:p>
      <w:pPr>
        <w:pStyle w:val="Style2"/>
        <w:keepNext w:val="0"/>
        <w:keepLines w:val="0"/>
        <w:widowControl w:val="0"/>
        <w:shd w:val="clear" w:color="auto" w:fill="auto"/>
        <w:bidi w:val="0"/>
        <w:spacing w:before="0" w:after="320" w:line="259" w:lineRule="auto"/>
        <w:ind w:left="0" w:right="0" w:firstLine="700"/>
        <w:jc w:val="both"/>
      </w:pPr>
      <w:r>
        <w:rPr>
          <w:rStyle w:val="CharStyle3"/>
        </w:rPr>
        <w:t>рассмотрев жалобу общества с ограниченной ответственностью «КАЙЛАС» на действия (бездействие) субъекта (субъектов) контроля при проведении электронного аукциона от 07.04.2026 № 0351100025326000153 на поставку нити хирургической самофиксирующейся,</w:t>
      </w:r>
    </w:p>
    <w:p>
      <w:pPr>
        <w:pStyle w:val="Style2"/>
        <w:keepNext w:val="0"/>
        <w:keepLines w:val="0"/>
        <w:widowControl w:val="0"/>
        <w:shd w:val="clear" w:color="auto" w:fill="auto"/>
        <w:bidi w:val="0"/>
        <w:spacing w:before="0" w:after="320" w:line="259" w:lineRule="auto"/>
        <w:ind w:left="0" w:right="0" w:firstLine="0"/>
        <w:jc w:val="center"/>
      </w:pPr>
      <w:r>
        <w:rPr>
          <w:rStyle w:val="CharStyle3"/>
        </w:rPr>
        <w:t>УСТАНОВИЛА:</w:t>
      </w:r>
    </w:p>
    <w:p>
      <w:pPr>
        <w:pStyle w:val="Style2"/>
        <w:keepNext w:val="0"/>
        <w:keepLines w:val="0"/>
        <w:widowControl w:val="0"/>
        <w:shd w:val="clear" w:color="auto" w:fill="auto"/>
        <w:bidi w:val="0"/>
        <w:spacing w:before="0" w:after="0" w:line="252" w:lineRule="auto"/>
        <w:ind w:left="0" w:right="0" w:firstLine="700"/>
        <w:jc w:val="both"/>
      </w:pPr>
      <w:r>
        <w:rPr>
          <w:rStyle w:val="CharStyle3"/>
        </w:rPr>
        <w:t>В контрольное управление Новосибирской области 21.04.2026 поступила жалоба общества с ограниченной ответственностью «КАЙЛАС» (далее - ООО «КАЙЛАС», заявитель) на действия (бездействие) субъекта (субъектов) контроля при проведении электронного аукциона от 07.04.2026 № 0351100025326000153 на поставку нити хирургической самофиксирующейся.</w:t>
      </w:r>
    </w:p>
    <w:p>
      <w:pPr>
        <w:pStyle w:val="Style2"/>
        <w:keepNext w:val="0"/>
        <w:keepLines w:val="0"/>
        <w:widowControl w:val="0"/>
        <w:shd w:val="clear" w:color="auto" w:fill="auto"/>
        <w:bidi w:val="0"/>
        <w:spacing w:before="0" w:after="0" w:line="252" w:lineRule="auto"/>
        <w:ind w:left="0" w:right="0" w:firstLine="700"/>
        <w:jc w:val="both"/>
      </w:pPr>
      <w:r>
        <w:rPr>
          <w:rStyle w:val="CharStyle3"/>
        </w:rPr>
        <w:t>Суть жалобы сводится к следующему.</w:t>
      </w:r>
    </w:p>
    <w:p>
      <w:pPr>
        <w:pStyle w:val="Style2"/>
        <w:keepNext w:val="0"/>
        <w:keepLines w:val="0"/>
        <w:widowControl w:val="0"/>
        <w:shd w:val="clear" w:color="auto" w:fill="auto"/>
        <w:bidi w:val="0"/>
        <w:spacing w:before="0" w:after="320" w:line="240" w:lineRule="auto"/>
        <w:ind w:left="0" w:right="0" w:firstLine="700"/>
        <w:jc w:val="both"/>
      </w:pPr>
      <w:r>
        <w:rPr>
          <w:rStyle w:val="CharStyle3"/>
        </w:rPr>
        <w:t>07.05.2026 государственным бюджетным учреждением здравоохранения Новосибирской области «Центральная клиническая больница» (далее - заказчик)</w:t>
      </w:r>
    </w:p>
    <w:p>
      <w:pPr>
        <w:pStyle w:val="Style2"/>
        <w:keepNext w:val="0"/>
        <w:keepLines w:val="0"/>
        <w:widowControl w:val="0"/>
        <w:shd w:val="clear" w:color="auto" w:fill="auto"/>
        <w:bidi w:val="0"/>
        <w:spacing w:before="0" w:after="0" w:line="259" w:lineRule="auto"/>
        <w:ind w:left="0" w:right="0" w:firstLine="0"/>
        <w:jc w:val="both"/>
      </w:pPr>
      <w:r>
        <w:rPr>
          <w:rStyle w:val="CharStyle3"/>
        </w:rPr>
        <w:t>опубликовано извещение № 0351100025326000153 о проведении электронного аукциона на поставку нити хирургической самофиксирующейся. Начальная (максимальная) цена контракта 290 399,76 рублей.</w:t>
      </w:r>
    </w:p>
    <w:p>
      <w:pPr>
        <w:pStyle w:val="Style2"/>
        <w:keepNext w:val="0"/>
        <w:keepLines w:val="0"/>
        <w:widowControl w:val="0"/>
        <w:shd w:val="clear" w:color="auto" w:fill="auto"/>
        <w:bidi w:val="0"/>
        <w:spacing w:before="0" w:after="0"/>
        <w:ind w:left="0" w:right="0" w:firstLine="700"/>
        <w:jc w:val="both"/>
      </w:pPr>
      <w:r>
        <w:rPr>
          <w:rStyle w:val="CharStyle3"/>
        </w:rPr>
        <w:t xml:space="preserve">Согласно протоколу подведения итогов определения поставщика (подрядчика исполнителя) от 17.04.2025 ИЭА1 действия комиссии нарушают требования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выразились в незаконном отклонении его заявки по основаниям «Несоответствие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В контексте закупок по 44-ФЗ указание двух товарных знаков (например, </w:t>
      </w:r>
      <w:r>
        <w:rPr>
          <w:rStyle w:val="CharStyle3"/>
          <w:lang w:val="en-US" w:eastAsia="en-US"/>
        </w:rPr>
        <w:t xml:space="preserve">«Vitoliften» </w:t>
      </w:r>
      <w:r>
        <w:rPr>
          <w:rStyle w:val="CharStyle3"/>
        </w:rPr>
        <w:t xml:space="preserve">и «Витолифтен») для одного объекта закупки не допускается, если эти знаки зарегистрированы как отдельные товарные знаки и относятся к одной позиции товара. Согласно разъяснениям ФАС России, Закон 44-ФЗ не предусматривает возможности указания нескольких товарных знаков в отношении одной позиции товара. Такая заявка рассматривается как несоответствующая требованиям закона. Согласно данным с сайта Федеральной службы по интеллектуальной собственности в России </w:t>
      </w:r>
      <w:r>
        <w:rPr>
          <w:rStyle w:val="CharStyle3"/>
          <w:lang w:val="en-US" w:eastAsia="en-US"/>
        </w:rPr>
        <w:t>(</w:t>
      </w:r>
      <w:r>
        <w:fldChar w:fldCharType="begin"/>
      </w:r>
      <w:r>
        <w:rPr/>
        <w:instrText> HYPERLINK "https://new.fips.ru/" </w:instrText>
      </w:r>
      <w:r>
        <w:fldChar w:fldCharType="separate"/>
      </w:r>
      <w:r>
        <w:rPr>
          <w:rStyle w:val="CharStyle3"/>
          <w:lang w:val="en-US" w:eastAsia="en-US"/>
        </w:rPr>
        <w:t>https://new.fips.ru/</w:t>
      </w:r>
      <w:r>
        <w:fldChar w:fldCharType="end"/>
      </w:r>
      <w:r>
        <w:rPr>
          <w:rStyle w:val="CharStyle3"/>
          <w:lang w:val="en-US" w:eastAsia="en-US"/>
        </w:rPr>
        <w:t xml:space="preserve">) </w:t>
      </w:r>
      <w:r>
        <w:rPr>
          <w:rStyle w:val="CharStyle3"/>
        </w:rPr>
        <w:t xml:space="preserve">зарегистрированы товарные знаки: 1. </w:t>
      </w:r>
      <w:r>
        <w:rPr>
          <w:rStyle w:val="CharStyle3"/>
          <w:lang w:val="en-US" w:eastAsia="en-US"/>
        </w:rPr>
        <w:t xml:space="preserve">Vitoliften </w:t>
      </w:r>
      <w:r>
        <w:rPr>
          <w:rStyle w:val="CharStyle3"/>
        </w:rPr>
        <w:t>- зарегистрированный товарный знак (№924743), правообладатель — ООО «СТЕНТАЛ». Дата регистрации — 1 марта 2023 года, срок действия — до 19 июля 2032 года. 2. Витолифтен - зарегистрированный».</w:t>
      </w:r>
    </w:p>
    <w:p>
      <w:pPr>
        <w:pStyle w:val="Style2"/>
        <w:keepNext w:val="0"/>
        <w:keepLines w:val="0"/>
        <w:widowControl w:val="0"/>
        <w:shd w:val="clear" w:color="auto" w:fill="auto"/>
        <w:bidi w:val="0"/>
        <w:spacing w:before="0" w:after="0"/>
        <w:ind w:left="0" w:right="0" w:firstLine="700"/>
        <w:jc w:val="both"/>
      </w:pPr>
      <w:r>
        <w:rPr>
          <w:rStyle w:val="CharStyle3"/>
        </w:rPr>
        <w:t xml:space="preserve">В жалобе ООО «КАЙЛАС» указано «Данные открытых реестров в сети Интернет по адресу: </w:t>
      </w:r>
      <w:r>
        <w:fldChar w:fldCharType="begin"/>
      </w:r>
      <w:r>
        <w:rPr/>
        <w:instrText> HYPERLINK "https://wwwl.fips.ru/registers-doc-view/fips_servlet" </w:instrText>
      </w:r>
      <w:r>
        <w:fldChar w:fldCharType="separate"/>
      </w:r>
      <w:r>
        <w:rPr>
          <w:rStyle w:val="CharStyle3"/>
          <w:lang w:val="en-US" w:eastAsia="en-US"/>
        </w:rPr>
        <w:t>https://wwwl.fips.ru/registers-doc-view/fips_servlet</w:t>
      </w:r>
      <w:r>
        <w:fldChar w:fldCharType="end"/>
      </w:r>
      <w:r>
        <w:rPr>
          <w:rStyle w:val="CharStyle3"/>
          <w:lang w:val="en-US" w:eastAsia="en-US"/>
        </w:rPr>
        <w:t xml:space="preserve">), </w:t>
      </w:r>
      <w:r>
        <w:rPr>
          <w:rStyle w:val="CharStyle3"/>
        </w:rPr>
        <w:t xml:space="preserve">а целью регистрации на разных языках являлось желание правообладателя повысить «узнаваемость» товарного знака в Российской Федерации (на кириллице), и за рубежом, в частности для экспорта в Казахстан, Киргизию и другие страны ЕАЭС, поэтому на латинице. То есть по сути словесное обозначение </w:t>
      </w:r>
      <w:r>
        <w:rPr>
          <w:rStyle w:val="CharStyle3"/>
          <w:lang w:val="en-US" w:eastAsia="en-US"/>
        </w:rPr>
        <w:t xml:space="preserve">«Vitoliften» </w:t>
      </w:r>
      <w:r>
        <w:rPr>
          <w:rStyle w:val="CharStyle3"/>
        </w:rPr>
        <w:t>является транскрипцией «Витолифтен» и индивидуализируют требуемую заказчику продукцию: нить хирургическую самофиксирующуюся».</w:t>
      </w:r>
    </w:p>
    <w:p>
      <w:pPr>
        <w:pStyle w:val="Style2"/>
        <w:keepNext w:val="0"/>
        <w:keepLines w:val="0"/>
        <w:widowControl w:val="0"/>
        <w:shd w:val="clear" w:color="auto" w:fill="auto"/>
        <w:bidi w:val="0"/>
        <w:spacing w:before="0" w:after="0"/>
        <w:ind w:left="0" w:right="0" w:firstLine="700"/>
        <w:jc w:val="both"/>
      </w:pPr>
      <w:r>
        <w:rPr>
          <w:rStyle w:val="CharStyle3"/>
        </w:rPr>
        <w:t>На основании вышеизложенного, податель жалобы просит: признать необоснованным отклонение заявки ООО «КАЙЛАС»;</w:t>
      </w:r>
    </w:p>
    <w:p>
      <w:pPr>
        <w:pStyle w:val="Style2"/>
        <w:keepNext w:val="0"/>
        <w:keepLines w:val="0"/>
        <w:widowControl w:val="0"/>
        <w:shd w:val="clear" w:color="auto" w:fill="auto"/>
        <w:bidi w:val="0"/>
        <w:spacing w:before="0" w:after="0"/>
        <w:ind w:left="0" w:right="0" w:firstLine="700"/>
        <w:jc w:val="both"/>
      </w:pPr>
      <w:r>
        <w:rPr>
          <w:rStyle w:val="CharStyle3"/>
        </w:rPr>
        <w:t>На жалобу ООО «КАЙЛАС» от представителей заказчика поступили следующие возражения.</w:t>
      </w:r>
    </w:p>
    <w:p>
      <w:pPr>
        <w:pStyle w:val="Style2"/>
        <w:keepNext w:val="0"/>
        <w:keepLines w:val="0"/>
        <w:widowControl w:val="0"/>
        <w:shd w:val="clear" w:color="auto" w:fill="auto"/>
        <w:bidi w:val="0"/>
        <w:spacing w:before="0" w:after="0"/>
        <w:ind w:left="0" w:right="0" w:firstLine="700"/>
        <w:jc w:val="both"/>
      </w:pPr>
      <w:r>
        <w:rPr>
          <w:rStyle w:val="CharStyle3"/>
        </w:rPr>
        <w:t>При рассмотрении первой заявки заказчиком было установлено, что участник подал информацию о регистрационном удостоверении, указал характеристики, но в графе «Товарный знак» указал два номера государственной регистрации товарного знака. Заявитель прикладывает в самой жалобе графические изображения упаковки предполагаемого товара, которое не соответствует изображению товарных знаков. Считаем жалобу необоснованной. Так же, если бы данная заявка была допущена второй участник, тогда мог бы подать жалобу о неправомерном допущении участника закупки.</w:t>
      </w:r>
    </w:p>
    <w:p>
      <w:pPr>
        <w:pStyle w:val="Style2"/>
        <w:keepNext w:val="0"/>
        <w:keepLines w:val="0"/>
        <w:widowControl w:val="0"/>
        <w:shd w:val="clear" w:color="auto" w:fill="auto"/>
        <w:bidi w:val="0"/>
        <w:spacing w:before="0" w:after="0"/>
        <w:ind w:left="0" w:right="0" w:firstLine="700"/>
        <w:jc w:val="both"/>
      </w:pPr>
      <w:r>
        <w:rPr>
          <w:rStyle w:val="CharStyle3"/>
        </w:rPr>
        <w:t>Вместе с тем, комиссия отмечает следующее.</w:t>
      </w:r>
    </w:p>
    <w:p>
      <w:pPr>
        <w:pStyle w:val="Style2"/>
        <w:keepNext w:val="0"/>
        <w:keepLines w:val="0"/>
        <w:widowControl w:val="0"/>
        <w:shd w:val="clear" w:color="auto" w:fill="auto"/>
        <w:bidi w:val="0"/>
        <w:spacing w:before="0" w:after="0"/>
        <w:ind w:left="0" w:right="0" w:firstLine="700"/>
        <w:jc w:val="both"/>
      </w:pPr>
      <w:r>
        <w:rPr>
          <w:rStyle w:val="CharStyle3"/>
        </w:rPr>
        <w:t xml:space="preserve">Согласно подпункту «а» пункта 2 части 1 статьи 43 Федерального закона № 44-ФЗ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настоящего Федерального закона, </w:t>
      </w:r>
      <w:r>
        <w:rPr>
          <w:rStyle w:val="CharStyle3"/>
          <w:b/>
          <w:bCs/>
        </w:rPr>
        <w:t>товарный знак (при наличии у товара товарного знака).</w:t>
      </w:r>
    </w:p>
    <w:p>
      <w:pPr>
        <w:pStyle w:val="Style2"/>
        <w:keepNext w:val="0"/>
        <w:keepLines w:val="0"/>
        <w:widowControl w:val="0"/>
        <w:shd w:val="clear" w:color="auto" w:fill="auto"/>
        <w:bidi w:val="0"/>
        <w:spacing w:before="0" w:after="0"/>
        <w:ind w:left="0" w:right="0" w:firstLine="840"/>
        <w:jc w:val="both"/>
      </w:pPr>
      <w:r>
        <w:rPr>
          <w:rStyle w:val="CharStyle3"/>
        </w:rPr>
        <w:t>В соответствии с пунктом 1 части 2 статьи 43 Федерального закона № 44- ФЗ при формировании предложения участника закупки в отношении объекта закупки информация о товаре, предусмотренная подпунктами «а» и «б» пункта 2 части 1 статьи 43 Федерального закона № 44-ФЗ,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статьи 43 Федерального закона № 44-ФЗ,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pPr>
        <w:pStyle w:val="Style2"/>
        <w:keepNext w:val="0"/>
        <w:keepLines w:val="0"/>
        <w:widowControl w:val="0"/>
        <w:shd w:val="clear" w:color="auto" w:fill="auto"/>
        <w:bidi w:val="0"/>
        <w:spacing w:before="0" w:after="0"/>
        <w:ind w:left="0" w:right="0" w:firstLine="700"/>
        <w:jc w:val="both"/>
      </w:pPr>
      <w:r>
        <w:rPr>
          <w:rStyle w:val="CharStyle3"/>
        </w:rPr>
        <w:t>В силу подпункта «а» пункта 1 части 5 статьи 49 Федерального закона № 44- 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Федерального закона № 44-ФЗ,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Федерального закона № 44-ФЗ.</w:t>
      </w:r>
    </w:p>
    <w:p>
      <w:pPr>
        <w:pStyle w:val="Style2"/>
        <w:keepNext w:val="0"/>
        <w:keepLines w:val="0"/>
        <w:widowControl w:val="0"/>
        <w:shd w:val="clear" w:color="auto" w:fill="auto"/>
        <w:bidi w:val="0"/>
        <w:spacing w:before="0" w:after="0"/>
        <w:ind w:left="0" w:right="0" w:firstLine="700"/>
        <w:jc w:val="both"/>
      </w:pPr>
      <w:r>
        <w:rPr>
          <w:rStyle w:val="CharStyle3"/>
        </w:rPr>
        <w:t>Пунктом 1 части 12 статьи 48 Федерального закона № 44-ФЗ установлено, что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Федерального закона № 44-ФЗ) в заявке на участие в закупке информации и документов, предусмотренных извещением об осуществлении закупки в соответствии с Федерального закона № 44-ФЗ (за исключением информации и документов, предусмотренных пунктами 2 и 3 части 6 статьи 43 Федерального закона № 44-ФЗ), несоответствия таких информации и документов требованиям, установленным в извещении об осуществлении закупки.</w:t>
      </w:r>
    </w:p>
    <w:p>
      <w:pPr>
        <w:pStyle w:val="Style2"/>
        <w:keepNext w:val="0"/>
        <w:keepLines w:val="0"/>
        <w:widowControl w:val="0"/>
        <w:shd w:val="clear" w:color="auto" w:fill="auto"/>
        <w:bidi w:val="0"/>
        <w:spacing w:before="0" w:after="0"/>
        <w:ind w:left="0" w:right="0" w:firstLine="700"/>
        <w:jc w:val="both"/>
      </w:pPr>
      <w:r>
        <w:rPr>
          <w:rStyle w:val="CharStyle3"/>
        </w:rPr>
        <w:t>Правовое регулирование товарных знаков определено параграфом 2 главы 76 раздела VII части четвертой Гражданского кодекса Российской Федерации (далее - ГК РФ).</w:t>
      </w:r>
    </w:p>
    <w:p>
      <w:pPr>
        <w:pStyle w:val="Style2"/>
        <w:keepNext w:val="0"/>
        <w:keepLines w:val="0"/>
        <w:widowControl w:val="0"/>
        <w:shd w:val="clear" w:color="auto" w:fill="auto"/>
        <w:bidi w:val="0"/>
        <w:spacing w:before="0" w:after="0" w:line="262" w:lineRule="auto"/>
        <w:ind w:left="0" w:right="0" w:firstLine="700"/>
        <w:jc w:val="both"/>
      </w:pPr>
      <w:r>
        <w:rPr>
          <w:rStyle w:val="CharStyle3"/>
        </w:rPr>
        <w:t xml:space="preserve">В соответствии с частью 1 статьи 1477 ГК РФ на товарный знак, то есть на обозначение, </w:t>
      </w:r>
      <w:r>
        <w:rPr>
          <w:rStyle w:val="CharStyle3"/>
          <w:b/>
          <w:bCs/>
        </w:rPr>
        <w:t xml:space="preserve">служащее для индивидуализации товаров, </w:t>
      </w:r>
      <w:r>
        <w:rPr>
          <w:rStyle w:val="CharStyle3"/>
        </w:rPr>
        <w:t>признается исключительное право, удостоверяемое свидетельством на товарный знак.</w:t>
      </w:r>
    </w:p>
    <w:p>
      <w:pPr>
        <w:pStyle w:val="Style2"/>
        <w:keepNext w:val="0"/>
        <w:keepLines w:val="0"/>
        <w:widowControl w:val="0"/>
        <w:shd w:val="clear" w:color="auto" w:fill="auto"/>
        <w:bidi w:val="0"/>
        <w:spacing w:before="0" w:after="0"/>
        <w:ind w:left="0" w:right="0" w:firstLine="700"/>
        <w:jc w:val="both"/>
      </w:pPr>
      <w:r>
        <w:rPr>
          <w:rStyle w:val="CharStyle3"/>
        </w:rPr>
        <w:t>Согласно статьи 1479 ГК РФ 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pPr>
        <w:pStyle w:val="Style2"/>
        <w:keepNext w:val="0"/>
        <w:keepLines w:val="0"/>
        <w:widowControl w:val="0"/>
        <w:shd w:val="clear" w:color="auto" w:fill="auto"/>
        <w:bidi w:val="0"/>
        <w:spacing w:before="0" w:after="0"/>
        <w:ind w:left="0" w:right="0" w:firstLine="700"/>
        <w:jc w:val="both"/>
      </w:pPr>
      <w:r>
        <w:rPr>
          <w:rStyle w:val="CharStyle3"/>
        </w:rPr>
        <w:t>В соответствии со статьей 1480 ГК РФ государственная регистрация товарного знака осуществляется федеральным органом исполнительной власти по интеллектуальной собственности (Роспатент) в государственном реестре товарных знаков и знаков обслуживания Российской Федерации (государственный реестр товарных знаков) в порядке, установленном статьями 1503, 1505 ГК РФ.</w:t>
      </w:r>
    </w:p>
    <w:p>
      <w:pPr>
        <w:pStyle w:val="Style2"/>
        <w:keepNext w:val="0"/>
        <w:keepLines w:val="0"/>
        <w:widowControl w:val="0"/>
        <w:shd w:val="clear" w:color="auto" w:fill="auto"/>
        <w:bidi w:val="0"/>
        <w:spacing w:before="0" w:after="0"/>
        <w:ind w:left="0" w:right="0" w:firstLine="700"/>
        <w:jc w:val="both"/>
      </w:pPr>
      <w:r>
        <w:rPr>
          <w:rStyle w:val="CharStyle3"/>
        </w:rPr>
        <w:t>Согласно пункту 1 статьи 1482 ГК РФ в качестве товарных знаков могут быть зарегистрированы словесные, изобразительные, объемные и другие обозначения или их комбинации.</w:t>
      </w:r>
    </w:p>
    <w:p>
      <w:pPr>
        <w:pStyle w:val="Style2"/>
        <w:keepNext w:val="0"/>
        <w:keepLines w:val="0"/>
        <w:widowControl w:val="0"/>
        <w:shd w:val="clear" w:color="auto" w:fill="auto"/>
        <w:bidi w:val="0"/>
        <w:spacing w:before="0" w:after="0"/>
        <w:ind w:left="0" w:right="0" w:firstLine="700"/>
        <w:jc w:val="both"/>
      </w:pPr>
      <w:r>
        <w:rPr>
          <w:rStyle w:val="CharStyle3"/>
        </w:rPr>
        <w:t>Приказом федерального органа исполнительной власти по интеллектуальной собственности (Роспатент) от 08.08.2023 № 99 утверждено Положение об официальном бюллетене «Товарные знаки, знаки обслуживания, географические указания и наименования мест происхождения товаров» (далее - Положение), которое устанавливает требования к оформлению официального бюллетеня «Товарные знаки, знаки обслуживания, географические указания и наименования мест происхождения товаров» (далее - Бюллетень), регламентирует его структуру и состав публикуемых в нем сведений.</w:t>
      </w:r>
    </w:p>
    <w:p>
      <w:pPr>
        <w:pStyle w:val="Style2"/>
        <w:keepNext w:val="0"/>
        <w:keepLines w:val="0"/>
        <w:widowControl w:val="0"/>
        <w:shd w:val="clear" w:color="auto" w:fill="auto"/>
        <w:bidi w:val="0"/>
        <w:spacing w:before="0" w:after="0"/>
        <w:ind w:left="0" w:right="0" w:firstLine="700"/>
        <w:jc w:val="both"/>
      </w:pPr>
      <w:r>
        <w:rPr>
          <w:rStyle w:val="CharStyle3"/>
        </w:rPr>
        <w:t xml:space="preserve">В соответствии с разделом 2.2.5 Положения «Товарные знаки и знаки обслуживания» по каждой государственной регистрации в Бюллетене публикуются сведения об изображении (воспроизведение) товарного знака (в виде словесного и/или изобразительного обозначения в заявленном цвете или цветовом сочетании), либо воспроизведение товарного знака (звуковой, световой, изменяющийся и другие знаки). Если товарный знак представлен в виде трехмерной модели, публикуется как изображение его общего вида, так и его трехмерная модель в формате 3D </w:t>
      </w:r>
      <w:r>
        <w:rPr>
          <w:rStyle w:val="CharStyle3"/>
          <w:lang w:val="en-US" w:eastAsia="en-US"/>
        </w:rPr>
        <w:t>PDF.</w:t>
      </w:r>
    </w:p>
    <w:p>
      <w:pPr>
        <w:pStyle w:val="Style2"/>
        <w:keepNext w:val="0"/>
        <w:keepLines w:val="0"/>
        <w:widowControl w:val="0"/>
        <w:shd w:val="clear" w:color="auto" w:fill="auto"/>
        <w:bidi w:val="0"/>
        <w:spacing w:before="0" w:after="0"/>
        <w:ind w:left="0" w:right="0" w:firstLine="700"/>
        <w:jc w:val="both"/>
      </w:pPr>
      <w:r>
        <w:rPr>
          <w:rStyle w:val="CharStyle3"/>
        </w:rPr>
        <w:t>Положением также утверждена форма представления публикуемых сведений о заявках на товарные знаки. В указанной форме содержится графа (550) «Указание, относящиеся к виду знака, и его характеристики», которая согласно формату записи публикуемых в бюллетене библиографических данных, относящихся к товарным знакам, содержит указание на вид зарегистрированного товарного знака (приложение № 3 к Положению).</w:t>
      </w:r>
    </w:p>
    <w:p>
      <w:pPr>
        <w:pStyle w:val="Style2"/>
        <w:keepNext w:val="0"/>
        <w:keepLines w:val="0"/>
        <w:widowControl w:val="0"/>
        <w:shd w:val="clear" w:color="auto" w:fill="auto"/>
        <w:bidi w:val="0"/>
        <w:spacing w:before="0" w:after="0"/>
        <w:ind w:left="0" w:right="0" w:firstLine="700"/>
        <w:jc w:val="both"/>
      </w:pPr>
      <w:r>
        <w:rPr>
          <w:rStyle w:val="CharStyle3"/>
        </w:rPr>
        <w:t>Таким образом, комиссия заказчика фактически исходит из того, что указание двух товарных знаков в отношении одной позиции товара недопустимо и влечет несоответствие заявки требованиям документации.</w:t>
      </w:r>
    </w:p>
    <w:p>
      <w:pPr>
        <w:pStyle w:val="Style2"/>
        <w:keepNext w:val="0"/>
        <w:keepLines w:val="0"/>
        <w:widowControl w:val="0"/>
        <w:shd w:val="clear" w:color="auto" w:fill="auto"/>
        <w:bidi w:val="0"/>
        <w:spacing w:before="0" w:after="0"/>
        <w:ind w:left="0" w:right="0" w:firstLine="700"/>
        <w:jc w:val="both"/>
      </w:pPr>
      <w:r>
        <w:rPr>
          <w:rStyle w:val="CharStyle3"/>
        </w:rPr>
        <w:t xml:space="preserve">Между тем такой вывод противоречит позиции Федеральной антимонопольной службы, изложенной в письме от 20.10.2025 № ГР/98772/25, в случае если указываемые </w:t>
      </w:r>
      <w:r>
        <w:rPr>
          <w:rStyle w:val="CharStyle3"/>
          <w:b/>
          <w:bCs/>
        </w:rPr>
        <w:t xml:space="preserve">товарные знаки одновременно индивидуализируют </w:t>
      </w:r>
      <w:r>
        <w:rPr>
          <w:rStyle w:val="CharStyle3"/>
        </w:rPr>
        <w:t>единый товар, участник закупки вправе указать такие товарные знаки в составе</w:t>
      </w:r>
    </w:p>
    <w:p>
      <w:pPr>
        <w:pStyle w:val="Style2"/>
        <w:keepNext w:val="0"/>
        <w:keepLines w:val="0"/>
        <w:widowControl w:val="0"/>
        <w:shd w:val="clear" w:color="auto" w:fill="auto"/>
        <w:bidi w:val="0"/>
        <w:spacing w:before="0" w:after="0"/>
        <w:ind w:left="0" w:right="0" w:firstLine="0"/>
        <w:jc w:val="both"/>
      </w:pPr>
      <w:r>
        <w:rPr>
          <w:rStyle w:val="CharStyle3"/>
        </w:rPr>
        <w:t>заявки на участие в закупке, поскольку такое указание исключает вариативность и невозможность определения заказчиком предлагаемого к поставке товара.</w:t>
      </w:r>
    </w:p>
    <w:p>
      <w:pPr>
        <w:pStyle w:val="Style2"/>
        <w:keepNext w:val="0"/>
        <w:keepLines w:val="0"/>
        <w:widowControl w:val="0"/>
        <w:shd w:val="clear" w:color="auto" w:fill="auto"/>
        <w:bidi w:val="0"/>
        <w:spacing w:before="0" w:after="0"/>
        <w:ind w:left="0" w:right="0" w:firstLine="720"/>
        <w:jc w:val="both"/>
      </w:pPr>
      <w:r>
        <w:rPr>
          <w:rStyle w:val="CharStyle3"/>
        </w:rPr>
        <w:t xml:space="preserve">Заявитель в составе заявки предоставляет свидетельство на товарный знак регистрации № 922593 Витолифтен , № 924743 </w:t>
      </w:r>
      <w:r>
        <w:rPr>
          <w:rStyle w:val="CharStyle3"/>
          <w:lang w:val="en-US" w:eastAsia="en-US"/>
        </w:rPr>
        <w:t xml:space="preserve">Vitoliften, </w:t>
      </w:r>
      <w:r>
        <w:rPr>
          <w:rStyle w:val="CharStyle3"/>
        </w:rPr>
        <w:t xml:space="preserve">а также регистрационное удостоверение рзн 2025/25277 Нить рассасывающаяся </w:t>
      </w:r>
      <w:r>
        <w:rPr>
          <w:rStyle w:val="CharStyle3"/>
          <w:lang w:val="en-US" w:eastAsia="en-US"/>
        </w:rPr>
        <w:t xml:space="preserve">«Vitoliften» </w:t>
      </w:r>
      <w:r>
        <w:rPr>
          <w:rStyle w:val="CharStyle3"/>
        </w:rPr>
        <w:t>(«Витолифтен») на иглах и без игл для пластической хирургии и косметологии, стерильная. Производитель: общество с ограниченной ответственностью «СТЕНТАЛ».</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информациии с сайта </w:t>
      </w:r>
      <w:r>
        <w:fldChar w:fldCharType="begin"/>
      </w:r>
      <w:r>
        <w:rPr/>
        <w:instrText> HYPERLINK "https://new.fips.ru" </w:instrText>
      </w:r>
      <w:r>
        <w:fldChar w:fldCharType="separate"/>
      </w:r>
      <w:r>
        <w:rPr>
          <w:rStyle w:val="CharStyle3"/>
          <w:u w:val="single"/>
          <w:lang w:val="en-US" w:eastAsia="en-US"/>
        </w:rPr>
        <w:t>https://new.fips.ru</w:t>
      </w:r>
      <w:r>
        <w:fldChar w:fldCharType="end"/>
      </w:r>
      <w:r>
        <w:rPr>
          <w:rStyle w:val="CharStyle3"/>
          <w:lang w:val="en-US" w:eastAsia="en-US"/>
        </w:rPr>
        <w:t xml:space="preserve"> </w:t>
      </w:r>
      <w:r>
        <w:rPr>
          <w:rStyle w:val="CharStyle3"/>
        </w:rPr>
        <w:t xml:space="preserve">правообладатель: общество с ограниченной ответственностью «СТЕНТАЛ» зарегистрировал два товарных знака </w:t>
      </w:r>
      <w:r>
        <w:rPr>
          <w:rStyle w:val="CharStyle3"/>
          <w:lang w:val="en-US" w:eastAsia="en-US"/>
        </w:rPr>
        <w:t xml:space="preserve">Vitoliften </w:t>
      </w:r>
      <w:r>
        <w:rPr>
          <w:rStyle w:val="CharStyle3"/>
        </w:rPr>
        <w:t>и Витолифтен, к которым относится один и тот же товар.</w:t>
      </w:r>
    </w:p>
    <w:p>
      <w:pPr>
        <w:pStyle w:val="Style2"/>
        <w:keepNext w:val="0"/>
        <w:keepLines w:val="0"/>
        <w:widowControl w:val="0"/>
        <w:shd w:val="clear" w:color="auto" w:fill="auto"/>
        <w:bidi w:val="0"/>
        <w:spacing w:before="0" w:after="0"/>
        <w:ind w:left="0" w:right="0" w:firstLine="720"/>
        <w:jc w:val="both"/>
      </w:pPr>
      <w:r>
        <w:rPr>
          <w:rStyle w:val="CharStyle3"/>
        </w:rPr>
        <w:t>Таким образом, указание в заявке товарных знаков не создает вариативности товара, а напротив, позволяет однозначно идентифицировать единый товар.</w:t>
      </w:r>
    </w:p>
    <w:p>
      <w:pPr>
        <w:pStyle w:val="Style2"/>
        <w:keepNext w:val="0"/>
        <w:keepLines w:val="0"/>
        <w:widowControl w:val="0"/>
        <w:shd w:val="clear" w:color="auto" w:fill="auto"/>
        <w:bidi w:val="0"/>
        <w:spacing w:before="0" w:after="0"/>
        <w:ind w:left="0" w:right="0" w:firstLine="720"/>
        <w:jc w:val="both"/>
      </w:pPr>
      <w:r>
        <w:rPr>
          <w:rStyle w:val="CharStyle3"/>
        </w:rPr>
        <w:t>Соответственно, товарные знаки индивидуализируют единое медицинское изделие.</w:t>
      </w:r>
    </w:p>
    <w:p>
      <w:pPr>
        <w:pStyle w:val="Style2"/>
        <w:keepNext w:val="0"/>
        <w:keepLines w:val="0"/>
        <w:widowControl w:val="0"/>
        <w:shd w:val="clear" w:color="auto" w:fill="auto"/>
        <w:bidi w:val="0"/>
        <w:spacing w:before="0" w:after="0"/>
        <w:ind w:left="0" w:right="0" w:firstLine="720"/>
        <w:jc w:val="both"/>
      </w:pPr>
      <w:r>
        <w:rPr>
          <w:rStyle w:val="CharStyle3"/>
        </w:rPr>
        <w:t>Заявка заявителя на участие в электронном аукционе соответствует требованиям статьи 43 Федерального закона № 44-ФЗ, основания для признания ее не соответствующей вышеуказанным требованиям у комиссии заказчика отсутствовали.</w:t>
      </w:r>
    </w:p>
    <w:p>
      <w:pPr>
        <w:pStyle w:val="Style2"/>
        <w:keepNext w:val="0"/>
        <w:keepLines w:val="0"/>
        <w:widowControl w:val="0"/>
        <w:shd w:val="clear" w:color="auto" w:fill="auto"/>
        <w:bidi w:val="0"/>
        <w:spacing w:before="0" w:after="0"/>
        <w:ind w:left="0" w:right="0" w:firstLine="720"/>
        <w:jc w:val="both"/>
      </w:pPr>
      <w:r>
        <w:rPr>
          <w:rStyle w:val="CharStyle3"/>
        </w:rPr>
        <w:t>На основании изложенного, комиссией заказчика нарушены требования подпункта «а» пункта 1 части 5 статьи 49, пункта 1 части 12 статьи 48 Федерального закона № 44-ФЗ, а именно: неправомерно отклонена заявка участника № 121016903, соответствующая требованиям извещения.</w:t>
      </w:r>
    </w:p>
    <w:p>
      <w:pPr>
        <w:pStyle w:val="Style2"/>
        <w:keepNext w:val="0"/>
        <w:keepLines w:val="0"/>
        <w:widowControl w:val="0"/>
        <w:shd w:val="clear" w:color="auto" w:fill="auto"/>
        <w:bidi w:val="0"/>
        <w:spacing w:before="0" w:after="0"/>
        <w:ind w:left="0" w:right="0" w:firstLine="720"/>
        <w:jc w:val="both"/>
      </w:pPr>
      <w:r>
        <w:rPr>
          <w:rStyle w:val="CharStyle3"/>
        </w:rPr>
        <w:t>Допущенные нарушения содержат признаки административного правонарушения, предусмотренного частью 7 статьи 7.30.1 Кодекса Российской Федерации об административных правонарушениях, -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рассмотрению и оценке заявки на участие в закупке, либо отклонение заявки на участие в закупке или отстранение участника закупки от участия в определении поставщика (подрядчика, исполнителя) в нарушение установленных указанными законодательством и нормативными правовыми актами требований, либо признание заявки соответствующей установленным при осуществлении закупки требованиям в случае, если такая заявка подлежит отклонению и влекут предупреждение или наложение административного штрафа на должностных лиц в размере 1 процента начальной (максимальной) цены контракта, но не менее пяти тысяч и не более тридцати тысяч рублей.</w:t>
      </w:r>
    </w:p>
    <w:p>
      <w:pPr>
        <w:pStyle w:val="Style2"/>
        <w:keepNext w:val="0"/>
        <w:keepLines w:val="0"/>
        <w:widowControl w:val="0"/>
        <w:shd w:val="clear" w:color="auto" w:fill="auto"/>
        <w:bidi w:val="0"/>
        <w:spacing w:before="0" w:after="0"/>
        <w:ind w:left="0" w:right="0" w:firstLine="720"/>
        <w:jc w:val="both"/>
      </w:pPr>
      <w:r>
        <w:rPr>
          <w:rStyle w:val="CharStyle3"/>
        </w:rPr>
        <w:t>На основании вышеизложенного, комиссия</w:t>
      </w:r>
    </w:p>
    <w:p>
      <w:pPr>
        <w:pStyle w:val="Style2"/>
        <w:keepNext w:val="0"/>
        <w:keepLines w:val="0"/>
        <w:widowControl w:val="0"/>
        <w:shd w:val="clear" w:color="auto" w:fill="auto"/>
        <w:bidi w:val="0"/>
        <w:spacing w:before="0" w:after="300"/>
        <w:ind w:left="0" w:right="0" w:firstLine="0"/>
        <w:jc w:val="center"/>
      </w:pPr>
      <w:r>
        <w:rPr>
          <w:rStyle w:val="CharStyle3"/>
        </w:rPr>
        <w:t>РЕШИЛА:</w:t>
      </w:r>
    </w:p>
    <w:p>
      <w:pPr>
        <w:pStyle w:val="Style2"/>
        <w:keepNext w:val="0"/>
        <w:keepLines w:val="0"/>
        <w:widowControl w:val="0"/>
        <w:numPr>
          <w:ilvl w:val="0"/>
          <w:numId w:val="1"/>
        </w:numPr>
        <w:shd w:val="clear" w:color="auto" w:fill="auto"/>
        <w:tabs>
          <w:tab w:pos="1118" w:val="left"/>
        </w:tabs>
        <w:bidi w:val="0"/>
        <w:spacing w:before="0" w:after="0" w:line="252" w:lineRule="auto"/>
        <w:ind w:left="0" w:right="0" w:firstLine="720"/>
        <w:jc w:val="both"/>
      </w:pPr>
      <w:r>
        <w:rPr>
          <w:rStyle w:val="CharStyle3"/>
        </w:rPr>
        <w:t>Жалобу общества с ограниченной ответственностью «КАЙЛАС» на действия (бездействие) субъекта (субъектов) контроля при проведении электронного аукциона от 07.04.2026 № 0351100025326000153 на поставку нити хирургической самофиксирующсйся, признать обоснованной.</w:t>
      </w:r>
    </w:p>
    <w:p>
      <w:pPr>
        <w:pStyle w:val="Style2"/>
        <w:keepNext w:val="0"/>
        <w:keepLines w:val="0"/>
        <w:widowControl w:val="0"/>
        <w:numPr>
          <w:ilvl w:val="0"/>
          <w:numId w:val="1"/>
        </w:numPr>
        <w:shd w:val="clear" w:color="auto" w:fill="auto"/>
        <w:tabs>
          <w:tab w:pos="1118" w:val="left"/>
        </w:tabs>
        <w:bidi w:val="0"/>
        <w:spacing w:before="0" w:after="0" w:line="252" w:lineRule="auto"/>
        <w:ind w:left="0" w:right="0" w:firstLine="720"/>
        <w:jc w:val="both"/>
      </w:pPr>
      <w:r>
        <w:rPr>
          <w:rStyle w:val="CharStyle3"/>
        </w:rPr>
        <w:t>Выдать государственному бюджетному учреждению здравоохранения Новосибирской области «Центральная клиническая больница» в целях устранения</w:t>
      </w:r>
      <w:r>
        <w:br w:type="page"/>
      </w:r>
    </w:p>
    <w:p>
      <w:pPr>
        <w:pStyle w:val="Style2"/>
        <w:keepNext w:val="0"/>
        <w:keepLines w:val="0"/>
        <w:widowControl w:val="0"/>
        <w:shd w:val="clear" w:color="auto" w:fill="auto"/>
        <w:bidi w:val="0"/>
        <w:spacing w:before="0" w:after="0"/>
        <w:ind w:left="0" w:right="0" w:firstLine="0"/>
        <w:jc w:val="both"/>
      </w:pPr>
      <w:r>
        <w:rPr>
          <w:rStyle w:val="CharStyle3"/>
        </w:rPr>
        <w:t>нарушений законодательства о контрактной системе, допущенных при проведении электронного аукциона от 07.04.2026 № 0351100025326000153 на поставку нити хирургической самофиксирующейся, обязательное для исполнения предписание.</w:t>
      </w:r>
    </w:p>
    <w:p>
      <w:pPr>
        <w:pStyle w:val="Style2"/>
        <w:keepNext w:val="0"/>
        <w:keepLines w:val="0"/>
        <w:widowControl w:val="0"/>
        <w:numPr>
          <w:ilvl w:val="0"/>
          <w:numId w:val="1"/>
        </w:numPr>
        <w:shd w:val="clear" w:color="auto" w:fill="auto"/>
        <w:tabs>
          <w:tab w:pos="1118" w:val="left"/>
        </w:tabs>
        <w:bidi w:val="0"/>
        <w:spacing w:before="0" w:after="0"/>
        <w:ind w:left="0" w:right="0" w:firstLine="720"/>
        <w:jc w:val="both"/>
      </w:pPr>
      <w:r>
        <w:rPr>
          <w:rStyle w:val="CharStyle3"/>
        </w:rPr>
        <w:t>Передать должностному лицу контрольного управления Новосибирской области копию решения от 27.04.2026 № 02-09-01/2026 по результатам рассмотрения жалобы о нарушении законодательства при осуществлении закупки для рассмотрения вопроса о возбуждении дела об административном правонарушении.</w:t>
      </w:r>
    </w:p>
    <w:p>
      <w:pPr>
        <w:pStyle w:val="Style2"/>
        <w:keepNext w:val="0"/>
        <w:keepLines w:val="0"/>
        <w:widowControl w:val="0"/>
        <w:shd w:val="clear" w:color="auto" w:fill="auto"/>
        <w:bidi w:val="0"/>
        <w:spacing w:before="0" w:after="640"/>
        <w:ind w:left="0" w:right="0" w:firstLine="720"/>
        <w:jc w:val="both"/>
      </w:pPr>
      <w:r>
        <w:rPr>
          <w:rStyle w:val="CharStyle3"/>
        </w:rPr>
        <w:t>Решение может быть обжаловано в судебном порядке в течение трех месяцев со дня его вынесения.</w:t>
      </w:r>
    </w:p>
    <w:p>
      <w:pPr>
        <w:pStyle w:val="Style2"/>
        <w:keepNext w:val="0"/>
        <w:keepLines w:val="0"/>
        <w:widowControl w:val="0"/>
        <w:shd w:val="clear" w:color="auto" w:fill="auto"/>
        <w:bidi w:val="0"/>
        <w:spacing w:before="0" w:after="340" w:line="240" w:lineRule="auto"/>
        <w:ind w:left="0" w:right="0" w:firstLine="0"/>
        <w:jc w:val="left"/>
      </w:pPr>
      <w:r>
        <mc:AlternateContent>
          <mc:Choice Requires="wps">
            <w:drawing>
              <wp:anchor distT="198120" distB="450850" distL="12700" distR="2801620" simplePos="0" relativeHeight="125829380" behindDoc="0" locked="0" layoutInCell="1" allowOverlap="1">
                <wp:simplePos x="0" y="0"/>
                <wp:positionH relativeFrom="page">
                  <wp:posOffset>777240</wp:posOffset>
                </wp:positionH>
                <wp:positionV relativeFrom="margin">
                  <wp:posOffset>2462530</wp:posOffset>
                </wp:positionV>
                <wp:extent cx="1880870" cy="609600"/>
                <wp:wrapSquare wrapText="right"/>
                <wp:docPr id="7" name="Shape 7"/>
                <a:graphic xmlns:a="http://schemas.openxmlformats.org/drawingml/2006/main">
                  <a:graphicData uri="http://schemas.microsoft.com/office/word/2010/wordprocessingShape">
                    <wps:wsp>
                      <wps:cNvSpPr txBox="1"/>
                      <wps:spPr>
                        <a:xfrm>
                          <a:ext cx="1880870" cy="609600"/>
                        </a:xfrm>
                        <a:prstGeom prst="rect"/>
                        <a:noFill/>
                      </wps:spPr>
                      <wps:txbx>
                        <w:txbxContent>
                          <w:p>
                            <w:pPr>
                              <w:pStyle w:val="Style2"/>
                              <w:keepNext w:val="0"/>
                              <w:keepLines w:val="0"/>
                              <w:widowControl w:val="0"/>
                              <w:shd w:val="clear" w:color="auto" w:fill="auto"/>
                              <w:bidi w:val="0"/>
                              <w:spacing w:before="0" w:after="320" w:line="240" w:lineRule="auto"/>
                              <w:ind w:left="0" w:right="0" w:firstLine="0"/>
                              <w:jc w:val="left"/>
                            </w:pPr>
                            <w:r>
                              <w:rPr>
                                <w:rStyle w:val="CharStyle3"/>
                              </w:rPr>
                              <w:t>Руководитель Комиссии</w:t>
                            </w:r>
                          </w:p>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wps:txbx>
                      <wps:bodyPr lIns="0" tIns="0" rIns="0" bIns="0">
                        <a:noAutoFit/>
                      </wps:bodyPr>
                    </wps:wsp>
                  </a:graphicData>
                </a:graphic>
              </wp:anchor>
            </w:drawing>
          </mc:Choice>
          <mc:Fallback>
            <w:pict>
              <v:shape id="_x0000_s1033" type="#_x0000_t202" style="position:absolute;margin-left:61.200000000000003pt;margin-top:193.90000000000001pt;width:148.09999999999999pt;height:48.pt;z-index:-125829373;mso-wrap-distance-left:1.pt;mso-wrap-distance-top:15.6pt;mso-wrap-distance-right:220.59999999999999pt;mso-wrap-distance-bottom:35.5pt;mso-position-horizontal-relative:page;mso-position-vertical-relative:margin" filled="f" stroked="f">
                <v:textbox inset="0,0,0,0">
                  <w:txbxContent>
                    <w:p>
                      <w:pPr>
                        <w:pStyle w:val="Style2"/>
                        <w:keepNext w:val="0"/>
                        <w:keepLines w:val="0"/>
                        <w:widowControl w:val="0"/>
                        <w:shd w:val="clear" w:color="auto" w:fill="auto"/>
                        <w:bidi w:val="0"/>
                        <w:spacing w:before="0" w:after="320" w:line="240" w:lineRule="auto"/>
                        <w:ind w:left="0" w:right="0" w:firstLine="0"/>
                        <w:jc w:val="left"/>
                      </w:pPr>
                      <w:r>
                        <w:rPr>
                          <w:rStyle w:val="CharStyle3"/>
                        </w:rPr>
                        <w:t>Руководитель Комиссии</w:t>
                      </w:r>
                    </w:p>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v:textbox>
                <w10:wrap type="square" side="right" anchorx="page" anchory="margin"/>
              </v:shape>
            </w:pict>
          </mc:Fallback>
        </mc:AlternateContent>
      </w:r>
      <w:r>
        <w:drawing>
          <wp:anchor distT="0" distB="0" distL="3335020" distR="12700" simplePos="0" relativeHeight="125829382" behindDoc="0" locked="0" layoutInCell="1" allowOverlap="1">
            <wp:simplePos x="0" y="0"/>
            <wp:positionH relativeFrom="page">
              <wp:posOffset>4099560</wp:posOffset>
            </wp:positionH>
            <wp:positionV relativeFrom="margin">
              <wp:posOffset>2264410</wp:posOffset>
            </wp:positionV>
            <wp:extent cx="1347470" cy="1261745"/>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1347470" cy="1261745"/>
                    </a:xfrm>
                    <a:prstGeom prst="rect"/>
                  </pic:spPr>
                </pic:pic>
              </a:graphicData>
            </a:graphic>
          </wp:anchor>
        </w:drawing>
      </w:r>
      <w:r>
        <w:rPr>
          <w:rStyle w:val="CharStyle3"/>
        </w:rPr>
        <w:t>Л.Ю. Исмайлова</w:t>
      </w:r>
    </w:p>
    <w:p>
      <w:pPr>
        <w:pStyle w:val="Style2"/>
        <w:keepNext w:val="0"/>
        <w:keepLines w:val="0"/>
        <w:widowControl w:val="0"/>
        <w:shd w:val="clear" w:color="auto" w:fill="auto"/>
        <w:bidi w:val="0"/>
        <w:spacing w:before="0" w:after="340" w:line="240" w:lineRule="auto"/>
        <w:ind w:left="0" w:right="0" w:firstLine="0"/>
        <w:jc w:val="left"/>
      </w:pPr>
      <w:r>
        <w:rPr>
          <w:rStyle w:val="CharStyle3"/>
        </w:rPr>
        <w:t>О.В. Юнг</w:t>
      </w:r>
    </w:p>
    <w:p>
      <w:pPr>
        <w:pStyle w:val="Style2"/>
        <w:keepNext w:val="0"/>
        <w:keepLines w:val="0"/>
        <w:widowControl w:val="0"/>
        <w:shd w:val="clear" w:color="auto" w:fill="auto"/>
        <w:bidi w:val="0"/>
        <w:spacing w:before="0" w:after="340" w:line="240" w:lineRule="auto"/>
        <w:ind w:left="0" w:right="0" w:firstLine="0"/>
        <w:jc w:val="left"/>
      </w:pPr>
      <w:r>
        <w:rPr>
          <w:rStyle w:val="CharStyle3"/>
        </w:rPr>
        <w:t>О.С. Рогожина</w:t>
      </w:r>
    </w:p>
    <w:sectPr>
      <w:footnotePr>
        <w:pos w:val="pageBottom"/>
        <w:numFmt w:val="decimal"/>
        <w:numRestart w:val="continuous"/>
      </w:footnotePr>
      <w:type w:val="continuous"/>
      <w:pgSz w:w="11900" w:h="16840"/>
      <w:pgMar w:top="1453" w:right="723" w:bottom="915" w:left="1202"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3870960</wp:posOffset>
              </wp:positionH>
              <wp:positionV relativeFrom="page">
                <wp:posOffset>538480</wp:posOffset>
              </wp:positionV>
              <wp:extent cx="76200" cy="125095"/>
              <wp:wrapNone/>
              <wp:docPr id="3" name="Shape 3"/>
              <a:graphic xmlns:a="http://schemas.openxmlformats.org/drawingml/2006/main">
                <a:graphicData uri="http://schemas.microsoft.com/office/word/2010/wordprocessingShape">
                  <wps:wsp>
                    <wps:cNvSpPr txBox="1"/>
                    <wps:spPr>
                      <a:xfrm>
                        <a:ext cx="76200" cy="1250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Style w:val="CharStyle6"/>
                                <w:sz w:val="26"/>
                                <w:szCs w:val="26"/>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4.80000000000001pt;margin-top:42.399999999999999pt;width:6.pt;height:9.8499999999999996pt;z-index:-188744062;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Style w:val="CharStyle6"/>
                          <w:sz w:val="26"/>
                          <w:szCs w:val="26"/>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paragraph" w:styleId="Style2">
    <w:name w:val="Body text"/>
    <w:basedOn w:val="Normal"/>
    <w:link w:val="CharStyle3"/>
    <w:qFormat/>
    <w:pPr>
      <w:widowControl w:val="0"/>
      <w:shd w:val="clear" w:color="auto" w:fill="auto"/>
      <w:spacing w:line="257" w:lineRule="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