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367000, г. Махачкала, пл. Ленина, 2</w:t>
        <w:br/>
        <w:t>тел.: (8722) 67-20-95, факс: (8722) 67-21-41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"mailto:to05@fas.gov.ru" </w:instrText>
      </w:r>
      <w:r>
        <w:fldChar w:fldCharType="separate"/>
      </w:r>
      <w:r>
        <w:rPr>
          <w:rStyle w:val="CharStyle3"/>
          <w:lang w:val="en-US" w:eastAsia="en-US"/>
        </w:rPr>
        <w:t>to05@fas.gov.ru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8.0О26</w:t>
      </w:r>
      <w:r>
        <w:fldChar w:fldCharType="end"/>
      </w:r>
      <w:r>
        <w:rPr>
          <w:rStyle w:val="CharStyle11"/>
        </w:rPr>
        <w:t xml:space="preserve"> № </w:t>
      </w:r>
      <w:r>
        <w:rPr>
          <w:rStyle w:val="CharStyle11"/>
          <w:u w:val="single"/>
        </w:rPr>
        <w:t>ХМ/2398/2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 № 005/06/105-526/2026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ФЕДЕРАЛЬНОЕ ГОСУДАРСТВЕННОЕ БЮДЖЕТНОЕ УЧРЕЖДЕНИЕ НАУКИ ДАГЕСТАНСКИЙ ФЕДЕРАЛЬНЫЙ ИССЛЕДОВАТЕЛЬСКИЙ ЦЕНТР РОССИЙСКОЙ АКАДЕМИИ НАУК Российская Федерация, 367000, Дагестан Респ, Махачкала г, Магомета Гаджиева ул, Д. 45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ОБЩЕСТВО С ОГРАНИЧЕННОЙ ОТВЕТСТВЕННОСТЬЮ "ПИТ-СТОП" 368792, РЕСПУБЛИКА ДАГЕСТАН, Р-Н МАГАРАМКЕНТСКИЙ, С. ЦЕЛЯГЮН, УЛ. ПРОЛЕТАРСКАЯ, Д. 12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АО «Агентство по государственному заказу Республики Татарстан»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420021, г. Казань, ул. Московская,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5"/>
        </w:rPr>
        <w:t>д. 55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72" w:right="627" w:bottom="1222" w:left="1130" w:header="744" w:footer="3" w:gutter="0"/>
          <w:pgNumType w:start="1"/>
          <w:cols w:num="2" w:space="720" w:equalWidth="0">
            <w:col w:w="4296" w:space="979"/>
            <w:col w:w="4867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"mailto:agzrt@tatar.ru" </w:instrText>
      </w:r>
      <w:r>
        <w:fldChar w:fldCharType="separate"/>
      </w:r>
      <w:r>
        <w:rPr>
          <w:rStyle w:val="CharStyle15"/>
          <w:lang w:val="en-US" w:eastAsia="en-US"/>
        </w:rPr>
        <w:t>agzrt@tatar.ru</w:t>
      </w:r>
      <w:r>
        <w:fldChar w:fldCharType="end"/>
      </w:r>
      <w:r>
        <w:rPr>
          <w:rStyle w:val="CharStyle15"/>
          <w:lang w:val="en-US" w:eastAsia="en-US"/>
        </w:rPr>
        <w:t xml:space="preserve">; </w:t>
      </w: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15"/>
          <w:lang w:val="en-US" w:eastAsia="en-US"/>
        </w:rPr>
        <w:t>info@mail.zakazrf.ru</w:t>
      </w:r>
      <w:r>
        <w:fldChar w:fldCharType="end"/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0" w:bottom="1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Е Н И Е № 005/06/105-526/2026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</w:rPr>
        <w:t>Комиссии Управления ФАС России по Республике Дагестан</w:t>
        <w:br/>
        <w:t>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27.04.2026г.</w:t>
        <w:tab/>
        <w:t>г. Махачкала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Управления ФАС России по Республике Дагестан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Ведущего заседание Комиссии – Халмурзиева М.М.– Заместителя руководителя Дагестанского УФАС России.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Магомедова А.Ш. – Начальника отдела контроля закупок Дагестанского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Магомедова К.Г. –Заместителя начальника отдела контроля закупок Дагестанского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рассмотрев жалобу ООО "ПИТ-СТОП" (далее – Заявитель) на действия (бездействие) ФГБУ НАУКИ ДАГЕСТАНСКИЙ ФЕДЕРАЛЬНЫЙ ИССЛЕДОВАТЕЛЬСКИЙ ЦЕНТР РОССИЙСКОЙ АКАДЕМИИ НАУК (далее – Заказчик) при проведении процедуры закупки способом электронного аукциона № 0303100011526000002 «Поставка автомобильного бензина» (далее –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присутствии представителей от: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Заявителя – Нурмагомедов М.М. (директор);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0" w:right="0" w:firstLine="720"/>
        <w:jc w:val="both"/>
      </w:pPr>
      <w:r>
        <w:rPr>
          <w:rStyle w:val="CharStyle15"/>
        </w:rPr>
        <w:t>Заказчика - Юсупов К.К. (по доверенности),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72" w:right="546" w:bottom="1222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8"/>
        </w:rPr>
        <w:t>IIIIIIIIIIIHIIIIIII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21.04.2026г. в Дагестанское УФАС России поступила жалоба Заявителя на действия Заказчика при проведении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жалобе указывается на несоответствие извещения об осуществлении закупки требованиям законодательства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Единая информационная система), а также на электронной площадке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АО «Агентство по государственному заказу Республики Татарстан»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Оператор электронной площадки),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15.04.2026г. Заказчиком в Единой информационной системе было размещено извещение о проведении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- 2 430 000,00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мнению Заявителя, установленное Заказчиком требование о поставке топлива исключительно по топливным талонам является необоснованным и ограничивает круг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Исходя из положений указанной статьи Закона о контрактной системе и общих принципов законодательства о контрактной системе, можно сделать вывод о том, что целью закупки является достижение заказчиком государственных или муниципальных нужд, выраженных в приобретении товаров, работ, услуг.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пункте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указано,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сопровождение такого указания словами "или эквивалент";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20"/>
        <w:jc w:val="both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14" w:right="546" w:bottom="564" w:left="1106" w:header="686" w:footer="136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системе, должно содержать показатели, позволяющие определить соответствие закупаемых товара, работы, </w:t>
      </w:r>
      <w:r>
        <w:rPr>
          <w:rStyle w:val="CharStyle15"/>
          <w:lang w:val="en-US" w:eastAsia="en-US"/>
        </w:rPr>
        <w:t>2026-2520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Техническом задании, размещенном в составе документации, указано, в том числе, что поставка (отпуск) товара осуществляется по топливным талонам через сеть автозаправочных станций Поставщика.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 мнению Комиссии, установление требования, о том, что отпуск товара осуществляется только лишь по топливным талонам ограничивает участников закупки имеющие возможность осуществлять отпуск товара иными способами, к примеру топливными картами.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установление данного требования нарушает положения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Следовательно, жалоба Заявителя обоснована.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изложенного, руководствуясь 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Жалобу Заявителя признать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в действиях Заказчика нарушение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и 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Выдать Заказчику, его комиссии, Оператору электронной площадки предписание об устранении выявленного нарушения.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9" w:right="546" w:bottom="3535" w:left="1106" w:header="69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5019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279400</wp:posOffset>
                </wp:positionV>
                <wp:extent cx="1569720" cy="2101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22.pt;width:123.60000000000001pt;height:16.550000000000001pt;z-index:-125829375;mso-wrap-distance-left:0;mso-wrap-distance-top:22.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3535" distB="0" distL="0" distR="1786255" simplePos="0" relativeHeight="125829380" behindDoc="0" locked="0" layoutInCell="1" allowOverlap="1">
            <wp:simplePos x="0" y="0"/>
            <wp:positionH relativeFrom="page">
              <wp:posOffset>2744470</wp:posOffset>
            </wp:positionH>
            <wp:positionV relativeFrom="paragraph">
              <wp:posOffset>343535</wp:posOffset>
            </wp:positionV>
            <wp:extent cx="359410" cy="39624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431800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9.20000000000002pt;margin-top:34.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50190" distL="0" distR="0" simplePos="0" relativeHeight="125829381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279400</wp:posOffset>
                </wp:positionV>
                <wp:extent cx="1197610" cy="2101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М.М. Халмурзиев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1.pt;margin-top:22.pt;width:94.299999999999997pt;height:16.550000000000001pt;z-index:-125829372;mso-wrap-distance-left:0;mso-wrap-distance-top:22.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М.М. Халмурзиев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ХАЛМУРЗИЕВ МАГОМЕД МУССАЕВИЧ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00FB2D43ABF74BCE5937F5925D99EBDEC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03.04.2025 </w:t>
      </w:r>
      <w:r>
        <w:rPr>
          <w:rStyle w:val="CharStyle25"/>
          <w:color w:val="5A5A5A"/>
        </w:rPr>
        <w:t xml:space="preserve">по </w:t>
      </w:r>
      <w:r>
        <w:rPr>
          <w:rStyle w:val="CharStyle25"/>
        </w:rPr>
        <w:t>27.06.2026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46" w:bottom="353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542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146175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90.25pt;height:16.550000000000001pt;z-index:-125829370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16735" simplePos="0" relativeHeight="125829385" behindDoc="0" locked="0" layoutInCell="1" allowOverlap="1">
            <wp:simplePos x="0" y="0"/>
            <wp:positionH relativeFrom="page">
              <wp:posOffset>2774950</wp:posOffset>
            </wp:positionH>
            <wp:positionV relativeFrom="paragraph">
              <wp:posOffset>218440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279400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9.20000000000002pt;margin-top:22.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25425" distL="0" distR="0" simplePos="0" relativeHeight="125829386" behindDoc="0" locked="0" layoutInCell="1" allowOverlap="1">
                <wp:simplePos x="0" y="0"/>
                <wp:positionH relativeFrom="page">
                  <wp:posOffset>6048375</wp:posOffset>
                </wp:positionH>
                <wp:positionV relativeFrom="paragraph">
                  <wp:posOffset>127000</wp:posOffset>
                </wp:positionV>
                <wp:extent cx="1130935" cy="21018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А.Ш. Магомедов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6.25pt;margin-top:10.pt;width:89.049999999999997pt;height:16.550000000000001pt;z-index:-125829367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А.Ш. Магомедов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Магомедов Алик Шейхалиевич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00Е7122ВА0А5А53241</w:t>
      </w:r>
      <w:r>
        <w:rPr>
          <w:rStyle w:val="CharStyle25"/>
          <w:lang w:val="en-US" w:eastAsia="en-US"/>
        </w:rPr>
        <w:t>90DCBC9FAB8415C</w:t>
      </w:r>
      <w:r>
        <w:rPr>
          <w:rStyle w:val="CharStyle25"/>
          <w:lang w:val="en-US" w:eastAsia="en-US"/>
        </w:rPr>
        <w:t>Z*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6146165</wp:posOffset>
                </wp:positionH>
                <wp:positionV relativeFrom="paragraph">
                  <wp:posOffset>342900</wp:posOffset>
                </wp:positionV>
                <wp:extent cx="1036320" cy="21336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К.Г. Магомедов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3.94999999999999pt;margin-top:27.pt;width:81.600000000000009pt;height:16.80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К.Г. Магомедов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14.05.2025 </w:t>
      </w:r>
      <w:r>
        <w:rPr>
          <w:rStyle w:val="CharStyle25"/>
          <w:color w:val="5A5A5A"/>
        </w:rPr>
        <w:t xml:space="preserve">по </w:t>
      </w:r>
      <w:r>
        <w:rPr>
          <w:rStyle w:val="CharStyle25"/>
        </w:rPr>
        <w:t>07.08.2026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880" w:right="0" w:firstLine="0"/>
        <w:jc w:val="left"/>
      </w:pPr>
      <w:r>
        <w:rPr>
          <w:rStyle w:val="CharStyle2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Магомедов Камиль Гусенович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00CCF1CE099976A15D1EE464A3106AB73</w:t>
      </w:r>
      <w:r>
        <w:rPr>
          <w:rStyle w:val="CharStyle25"/>
          <w:lang w:val="en-US" w:eastAsia="en-US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5"/>
        </w:rPr>
        <w:t xml:space="preserve">Действителен с 29.08.2025 </w:t>
      </w:r>
      <w:r>
        <w:rPr>
          <w:rStyle w:val="CharStyle25"/>
          <w:color w:val="5A5A5A"/>
        </w:rPr>
        <w:t>по 22.1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6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532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95000000000005pt;width:51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10013315</wp:posOffset>
              </wp:positionV>
              <wp:extent cx="65532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88.45000000000005pt;width:51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3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0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9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after="100"/>
      <w:ind w:left="19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2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