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2700" distR="12700" simplePos="0" relativeHeight="125829378" behindDoc="0" locked="0" layoutInCell="1" allowOverlap="1">
            <wp:simplePos x="0" y="0"/>
            <wp:positionH relativeFrom="page">
              <wp:posOffset>3704590</wp:posOffset>
            </wp:positionH>
            <wp:positionV relativeFrom="paragraph">
              <wp:posOffset>12700</wp:posOffset>
            </wp:positionV>
            <wp:extent cx="560705" cy="664210"/>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64210"/>
                    </a:xfrm>
                    <a:prstGeom prst="rect"/>
                  </pic:spPr>
                </pic:pic>
              </a:graphicData>
            </a:graphic>
          </wp:anchor>
        </w:drawing>
      </w:r>
    </w:p>
    <w:p>
      <w:pPr>
        <w:pStyle w:val="Style2"/>
        <w:keepNext w:val="0"/>
        <w:keepLines w:val="0"/>
        <w:widowControl w:val="0"/>
        <w:shd w:val="clear" w:color="auto" w:fill="auto"/>
        <w:bidi w:val="0"/>
        <w:spacing w:before="0" w:after="120" w:line="300"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ind w:left="0" w:right="0" w:firstLine="0"/>
        <w:jc w:val="center"/>
      </w:pPr>
      <w:r>
        <w:rPr>
          <w:rStyle w:val="CharStyle9"/>
          <w:b/>
          <w:bCs/>
        </w:rPr>
        <w:t>УПРАВЛЕНИЕ</w:t>
        <w:br/>
        <w:t>Федеральной антимонопольной</w:t>
        <w:br/>
        <w:t>службы</w:t>
        <w:br/>
        <w:t>по Республике Коми</w:t>
      </w:r>
    </w:p>
    <w:p>
      <w:pPr>
        <w:pStyle w:val="Style2"/>
        <w:keepNext w:val="0"/>
        <w:keepLines w:val="0"/>
        <w:widowControl w:val="0"/>
        <w:shd w:val="clear" w:color="auto" w:fill="auto"/>
        <w:bidi w:val="0"/>
        <w:spacing w:before="0" w:after="0"/>
        <w:ind w:left="0" w:right="0" w:firstLine="0"/>
        <w:jc w:val="center"/>
      </w:pPr>
      <w:r>
        <w:rPr>
          <w:rStyle w:val="CharStyle3"/>
        </w:rPr>
        <w:t>ул. Интернациональная, 160А, г. Сыктывкар,</w:t>
        <w:br/>
        <w:t>ГСП-2, 167982, телефакс: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center"/>
      </w:pPr>
      <w:bookmarkStart w:id="0" w:name="bookmark0"/>
      <w:r>
        <w:rPr>
          <w:rStyle w:val="CharStyle11"/>
        </w:rPr>
        <w:t>0</w:t>
      </w:r>
      <w:r>
        <w:fldChar w:fldCharType="begin"/>
      </w:r>
      <w:r>
        <w:rPr/>
        <w:instrText> HYPERLINK "file://f207ca94-a13c-4ba0-b72d-f018c9eed8f1/" </w:instrText>
      </w:r>
      <w:r>
        <w:fldChar w:fldCharType="separate"/>
      </w:r>
      <w:r>
        <w:rPr>
          <w:rStyle w:val="CharStyle11"/>
        </w:rPr>
        <w:t>4.05.</w:t>
      </w:r>
      <w:r>
        <w:rPr>
          <w:rStyle w:val="CharStyle11"/>
          <w:u w:val="single"/>
        </w:rPr>
        <w:t>2026</w:t>
      </w:r>
      <w:r>
        <w:rPr>
          <w:rStyle w:val="CharStyle11"/>
        </w:rPr>
        <w:tab/>
      </w:r>
      <w:r>
        <w:fldChar w:fldCharType="end"/>
      </w:r>
      <w:r>
        <w:rPr>
          <w:rStyle w:val="CharStyle11"/>
        </w:rPr>
        <w:t xml:space="preserve">№ </w:t>
      </w:r>
      <w:r>
        <w:rPr>
          <w:rStyle w:val="CharStyle11"/>
          <w:u w:val="single"/>
        </w:rPr>
        <w:t>ОД/29</w:t>
      </w:r>
      <w:r>
        <w:rPr>
          <w:rStyle w:val="CharStyle11"/>
        </w:rPr>
        <w:t>75/26</w:t>
      </w:r>
      <w:bookmarkEnd w:id="0"/>
    </w:p>
    <w:p>
      <w:pPr>
        <w:pStyle w:val="Style8"/>
        <w:keepNext w:val="0"/>
        <w:keepLines w:val="0"/>
        <w:widowControl w:val="0"/>
        <w:shd w:val="clear" w:color="auto" w:fill="auto"/>
        <w:bidi w:val="0"/>
        <w:spacing w:before="0" w:after="0"/>
        <w:ind w:left="0" w:right="0" w:firstLine="0"/>
        <w:jc w:val="left"/>
      </w:pPr>
      <w:r>
        <w:rPr>
          <w:rStyle w:val="CharStyle9"/>
        </w:rPr>
        <w:t xml:space="preserve">На №  от</w:t>
      </w:r>
    </w:p>
    <w:p>
      <w:pPr>
        <w:pStyle w:val="Style2"/>
        <w:keepNext w:val="0"/>
        <w:keepLines w:val="0"/>
        <w:widowControl w:val="0"/>
        <w:shd w:val="clear" w:color="auto" w:fill="auto"/>
        <w:bidi w:val="0"/>
        <w:spacing w:before="0" w:after="0" w:line="288" w:lineRule="auto"/>
        <w:ind w:left="0" w:right="0" w:firstLine="0"/>
        <w:jc w:val="center"/>
        <w:rPr>
          <w:sz w:val="17"/>
          <w:szCs w:val="17"/>
        </w:rPr>
      </w:pPr>
      <w:r>
        <w:rPr>
          <w:rStyle w:val="CharStyle3"/>
          <w:b/>
          <w:bCs/>
          <w:sz w:val="17"/>
          <w:szCs w:val="17"/>
        </w:rPr>
        <w:t>ФЕДЕРАЛЬНОЙ</w:t>
      </w:r>
    </w:p>
    <w:p>
      <w:pPr>
        <w:pStyle w:val="Style2"/>
        <w:keepNext w:val="0"/>
        <w:keepLines w:val="0"/>
        <w:widowControl w:val="0"/>
        <w:shd w:val="clear" w:color="auto" w:fill="auto"/>
        <w:bidi w:val="0"/>
        <w:spacing w:before="0" w:after="140" w:line="288" w:lineRule="auto"/>
        <w:ind w:left="0" w:right="0" w:firstLine="460"/>
        <w:jc w:val="left"/>
        <w:rPr>
          <w:sz w:val="17"/>
          <w:szCs w:val="17"/>
        </w:rPr>
      </w:pPr>
      <w:r>
        <w:rPr>
          <w:rStyle w:val="CharStyle3"/>
          <w:b/>
          <w:bCs/>
          <w:sz w:val="17"/>
          <w:szCs w:val="17"/>
        </w:rPr>
        <w:t>АНТИМОНОПОЛЬНОЙ СЛУЖБА</w:t>
      </w:r>
    </w:p>
    <w:p>
      <w:pPr>
        <w:pStyle w:val="Style8"/>
        <w:keepNext w:val="0"/>
        <w:keepLines w:val="0"/>
        <w:widowControl w:val="0"/>
        <w:shd w:val="clear" w:color="auto" w:fill="auto"/>
        <w:bidi w:val="0"/>
        <w:spacing w:before="0" w:after="0" w:line="259" w:lineRule="auto"/>
        <w:ind w:left="460" w:right="0" w:firstLine="0"/>
        <w:jc w:val="both"/>
      </w:pPr>
      <w:r>
        <w:rPr>
          <w:rStyle w:val="CharStyle9"/>
          <w:b/>
          <w:bCs/>
        </w:rPr>
        <w:t>Федеральной антимонопольной службалбн Коми Республикаын</w:t>
      </w:r>
    </w:p>
    <w:p>
      <w:pPr>
        <w:pStyle w:val="Style8"/>
        <w:keepNext w:val="0"/>
        <w:keepLines w:val="0"/>
        <w:widowControl w:val="0"/>
        <w:shd w:val="clear" w:color="auto" w:fill="auto"/>
        <w:bidi w:val="0"/>
        <w:spacing w:before="0" w:after="260" w:line="259" w:lineRule="auto"/>
        <w:ind w:left="1080" w:right="0" w:firstLine="0"/>
        <w:jc w:val="left"/>
      </w:pPr>
      <w:r>
        <w:rPr>
          <w:rStyle w:val="CharStyle9"/>
          <w:b/>
          <w:bCs/>
        </w:rPr>
        <w:t>ВЕСЬКОДЛАШН</w:t>
      </w:r>
    </w:p>
    <w:p>
      <w:pPr>
        <w:pStyle w:val="Style2"/>
        <w:keepNext w:val="0"/>
        <w:keepLines w:val="0"/>
        <w:widowControl w:val="0"/>
        <w:shd w:val="clear" w:color="auto" w:fill="auto"/>
        <w:bidi w:val="0"/>
        <w:spacing w:before="0" w:after="340" w:line="271" w:lineRule="auto"/>
        <w:ind w:left="0" w:right="0" w:firstLine="0"/>
        <w:jc w:val="center"/>
      </w:pPr>
      <w:r>
        <w:rPr>
          <w:rStyle w:val="CharStyle3"/>
        </w:rPr>
        <w:t>Интернациональной ул., 160А,</w:t>
        <w:br/>
        <w:t>Сыктывкар, ГСП-2, 167982</w:t>
        <w:br/>
        <w:t>тел./факс: (8212) 21-41-29</w:t>
        <w:br/>
      </w:r>
      <w:r>
        <w:rPr>
          <w:rStyle w:val="CharStyle3"/>
          <w:lang w:val="en-US" w:eastAsia="en-US"/>
        </w:rPr>
        <w:t xml:space="preserve">e-mail: </w:t>
      </w:r>
      <w:r>
        <w:fldChar w:fldCharType="begin"/>
      </w:r>
      <w:r>
        <w:rPr/>
        <w:instrText> HYPERLINK "mailto:toll@fas.gov.ru" </w:instrText>
      </w:r>
      <w:r>
        <w:fldChar w:fldCharType="separate"/>
      </w:r>
      <w:r>
        <w:rPr>
          <w:rStyle w:val="CharStyle3"/>
          <w:lang w:val="en-US" w:eastAsia="en-US"/>
        </w:rPr>
        <w:t>toll@fas.gov.ru</w:t>
      </w:r>
      <w:r>
        <w:fldChar w:fldCharType="end"/>
      </w:r>
    </w:p>
    <w:p>
      <w:pPr>
        <w:pStyle w:val="Style14"/>
        <w:keepNext w:val="0"/>
        <w:keepLines w:val="0"/>
        <w:widowControl w:val="0"/>
        <w:shd w:val="clear" w:color="auto" w:fill="auto"/>
        <w:bidi w:val="0"/>
        <w:spacing w:before="0" w:after="0" w:line="240" w:lineRule="auto"/>
        <w:ind w:left="0" w:right="0" w:firstLine="0"/>
        <w:jc w:val="right"/>
        <w:sectPr>
          <w:footerReference w:type="default" r:id="rId7"/>
          <w:footnotePr>
            <w:pos w:val="pageBottom"/>
            <w:numFmt w:val="decimal"/>
            <w:numRestart w:val="continuous"/>
          </w:footnotePr>
          <w:pgSz w:w="11900" w:h="16840"/>
          <w:pgMar w:top="423" w:right="651" w:bottom="401" w:left="1111" w:header="0" w:footer="3" w:gutter="0"/>
          <w:pgNumType w:start="1"/>
          <w:cols w:num="2" w:space="1354"/>
          <w:noEndnote/>
          <w:rtlGutter w:val="0"/>
          <w:docGrid w:linePitch="360"/>
        </w:sectPr>
      </w:pPr>
      <w:r>
        <w:rPr>
          <w:rStyle w:val="CharStyle15"/>
          <w:i/>
          <w:iCs/>
        </w:rPr>
        <w:t>(посредством Единой информационной системы в сфере закупок)</w:t>
      </w:r>
    </w:p>
    <w:p>
      <w:pPr>
        <w:widowControl w:val="0"/>
        <w:spacing w:line="108" w:lineRule="exact"/>
        <w:rPr>
          <w:sz w:val="9"/>
          <w:szCs w:val="9"/>
        </w:rPr>
      </w:pPr>
    </w:p>
    <w:p>
      <w:pPr>
        <w:widowControl w:val="0"/>
        <w:spacing w:line="1" w:lineRule="exact"/>
        <w:sectPr>
          <w:footnotePr>
            <w:pos w:val="pageBottom"/>
            <w:numFmt w:val="decimal"/>
            <w:numRestart w:val="continuous"/>
          </w:footnotePr>
          <w:type w:val="continuous"/>
          <w:pgSz w:w="11900" w:h="16840"/>
          <w:pgMar w:top="423" w:right="0" w:bottom="401" w:left="0" w:header="0" w:footer="3" w:gutter="0"/>
          <w:cols w:space="720"/>
          <w:noEndnote/>
          <w:rtlGutter w:val="0"/>
          <w:docGrid w:linePitch="360"/>
        </w:sectPr>
      </w:pPr>
    </w:p>
    <w:p>
      <w:pPr>
        <w:pStyle w:val="Style14"/>
        <w:keepNext w:val="0"/>
        <w:keepLines w:val="0"/>
        <w:widowControl w:val="0"/>
        <w:shd w:val="clear" w:color="auto" w:fill="auto"/>
        <w:bidi w:val="0"/>
        <w:spacing w:before="0" w:after="260" w:line="240" w:lineRule="auto"/>
        <w:ind w:left="3780" w:right="0" w:firstLine="0"/>
        <w:jc w:val="right"/>
      </w:pPr>
      <w:r>
        <mc:AlternateContent>
          <mc:Choice Requires="wps">
            <w:drawing>
              <wp:anchor distT="0" distB="0" distL="114300" distR="114300" simplePos="0" relativeHeight="125829379" behindDoc="0" locked="0" layoutInCell="1" allowOverlap="1">
                <wp:simplePos x="0" y="0"/>
                <wp:positionH relativeFrom="page">
                  <wp:posOffset>735965</wp:posOffset>
                </wp:positionH>
                <wp:positionV relativeFrom="paragraph">
                  <wp:posOffset>101600</wp:posOffset>
                </wp:positionV>
                <wp:extent cx="673735" cy="234950"/>
                <wp:wrapSquare wrapText="right"/>
                <wp:docPr id="5" name="Shape 5"/>
                <a:graphic xmlns:a="http://schemas.openxmlformats.org/drawingml/2006/main">
                  <a:graphicData uri="http://schemas.microsoft.com/office/word/2010/wordprocessingShape">
                    <wps:wsp>
                      <wps:cNvSpPr txBox="1"/>
                      <wps:spPr>
                        <a:xfrm>
                          <a:ext cx="673735"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txbxContent>
                      </wps:txbx>
                      <wps:bodyPr wrap="none" lIns="0" tIns="0" rIns="0" bIns="0">
                        <a:noAutoFit/>
                      </wps:bodyPr>
                    </wps:wsp>
                  </a:graphicData>
                </a:graphic>
              </wp:anchor>
            </w:drawing>
          </mc:Choice>
          <mc:Fallback>
            <w:pict>
              <v:shape id="_x0000_s1031" type="#_x0000_t202" style="position:absolute;margin-left:57.950000000000003pt;margin-top:8.pt;width:53.050000000000004pt;height:18.5pt;z-index:-125829374;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txbxContent>
                </v:textbox>
                <w10:wrap type="square" side="right" anchorx="page"/>
              </v:shape>
            </w:pict>
          </mc:Fallback>
        </mc:AlternateContent>
      </w:r>
      <w:r>
        <w:rPr>
          <w:rStyle w:val="CharStyle15"/>
        </w:rPr>
        <w:t>Общество с ограниченной ответственностью «Миллениум Кэпитал»</w:t>
      </w:r>
    </w:p>
    <w:p>
      <w:pPr>
        <w:pStyle w:val="Style14"/>
        <w:keepNext w:val="0"/>
        <w:keepLines w:val="0"/>
        <w:widowControl w:val="0"/>
        <w:shd w:val="clear" w:color="auto" w:fill="auto"/>
        <w:bidi w:val="0"/>
        <w:spacing w:before="0" w:after="260" w:line="240" w:lineRule="auto"/>
        <w:ind w:left="5780" w:right="0" w:firstLine="0"/>
        <w:jc w:val="right"/>
      </w:pPr>
      <w:r>
        <w:rPr>
          <w:rStyle w:val="CharStyle15"/>
        </w:rPr>
        <w:t>Государственное казенное учреждение Республики Коми «Центр обеспечения организации и проведения торгов»</w:t>
      </w:r>
    </w:p>
    <w:p>
      <w:pPr>
        <w:pStyle w:val="Style14"/>
        <w:keepNext w:val="0"/>
        <w:keepLines w:val="0"/>
        <w:widowControl w:val="0"/>
        <w:shd w:val="clear" w:color="auto" w:fill="auto"/>
        <w:bidi w:val="0"/>
        <w:spacing w:before="0" w:after="260" w:line="240" w:lineRule="auto"/>
        <w:ind w:left="5520" w:right="0" w:firstLine="0"/>
        <w:jc w:val="right"/>
      </w:pPr>
      <w:r>
        <w:rPr>
          <w:rStyle w:val="CharStyle15"/>
        </w:rPr>
        <w:t>Государственное бюджетное учреждение Республики Коми «Служба единого заказчика Республики Коми»</w:t>
      </w:r>
    </w:p>
    <w:p>
      <w:pPr>
        <w:pStyle w:val="Style14"/>
        <w:keepNext w:val="0"/>
        <w:keepLines w:val="0"/>
        <w:widowControl w:val="0"/>
        <w:shd w:val="clear" w:color="auto" w:fill="auto"/>
        <w:bidi w:val="0"/>
        <w:spacing w:before="0" w:after="340" w:line="240" w:lineRule="auto"/>
        <w:ind w:left="5080" w:right="0" w:firstLine="0"/>
        <w:jc w:val="right"/>
      </w:pPr>
      <w:r>
        <w:rPr>
          <w:rStyle w:val="CharStyle15"/>
        </w:rPr>
        <w:t>Общество с ограниченной ответственностью «РТС-тендер»</w:t>
      </w:r>
    </w:p>
    <w:p>
      <w:pPr>
        <w:pStyle w:val="Style14"/>
        <w:keepNext w:val="0"/>
        <w:keepLines w:val="0"/>
        <w:widowControl w:val="0"/>
        <w:shd w:val="clear" w:color="auto" w:fill="auto"/>
        <w:bidi w:val="0"/>
        <w:spacing w:before="0" w:after="0" w:line="233" w:lineRule="auto"/>
        <w:ind w:left="0" w:right="0" w:firstLine="0"/>
        <w:jc w:val="center"/>
      </w:pPr>
      <w:r>
        <mc:AlternateContent>
          <mc:Choice Requires="wps">
            <w:drawing>
              <wp:anchor distT="0" distB="0" distL="114300" distR="114300" simplePos="0" relativeHeight="125829381" behindDoc="0" locked="0" layoutInCell="1" allowOverlap="1">
                <wp:simplePos x="0" y="0"/>
                <wp:positionH relativeFrom="page">
                  <wp:posOffset>6240780</wp:posOffset>
                </wp:positionH>
                <wp:positionV relativeFrom="paragraph">
                  <wp:posOffset>381000</wp:posOffset>
                </wp:positionV>
                <wp:extent cx="953770" cy="234950"/>
                <wp:wrapSquare wrapText="left"/>
                <wp:docPr id="7" name="Shape 7"/>
                <a:graphic xmlns:a="http://schemas.openxmlformats.org/drawingml/2006/main">
                  <a:graphicData uri="http://schemas.microsoft.com/office/word/2010/wordprocessingShape">
                    <wps:wsp>
                      <wps:cNvSpPr txBox="1"/>
                      <wps:spPr>
                        <a:xfrm>
                          <a:ext cx="95377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Сыктывкар</w:t>
                            </w:r>
                          </w:p>
                        </w:txbxContent>
                      </wps:txbx>
                      <wps:bodyPr wrap="none" lIns="0" tIns="0" rIns="0" bIns="0">
                        <a:noAutoFit/>
                      </wps:bodyPr>
                    </wps:wsp>
                  </a:graphicData>
                </a:graphic>
              </wp:anchor>
            </w:drawing>
          </mc:Choice>
          <mc:Fallback>
            <w:pict>
              <v:shape id="_x0000_s1033" type="#_x0000_t202" style="position:absolute;margin-left:491.40000000000003pt;margin-top:30.pt;width:75.100000000000009pt;height:18.5pt;z-index:-125829372;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 Сыктывкар</w:t>
                      </w:r>
                    </w:p>
                  </w:txbxContent>
                </v:textbox>
                <w10:wrap type="square" side="left" anchorx="page"/>
              </v:shape>
            </w:pict>
          </mc:Fallback>
        </mc:AlternateContent>
      </w:r>
      <w:r>
        <w:rPr>
          <w:rStyle w:val="CharStyle15"/>
          <w:b/>
          <w:bCs/>
          <w:sz w:val="28"/>
          <w:szCs w:val="28"/>
        </w:rPr>
        <w:t>РЕШЕНИЕ</w:t>
        <w:br/>
      </w:r>
      <w:r>
        <w:rPr>
          <w:rStyle w:val="CharStyle15"/>
          <w:b/>
          <w:bCs/>
        </w:rPr>
        <w:t xml:space="preserve">по жалобе </w:t>
      </w:r>
      <w:r>
        <w:rPr>
          <w:rStyle w:val="CharStyle15"/>
          <w:b/>
          <w:bCs/>
          <w:lang w:val="en-US" w:eastAsia="en-US"/>
        </w:rPr>
        <w:t>№ 011/06/105-437/2026</w:t>
      </w:r>
    </w:p>
    <w:p>
      <w:pPr>
        <w:pStyle w:val="Style14"/>
        <w:keepNext w:val="0"/>
        <w:keepLines w:val="0"/>
        <w:widowControl w:val="0"/>
        <w:shd w:val="clear" w:color="auto" w:fill="auto"/>
        <w:bidi w:val="0"/>
        <w:spacing w:before="0" w:after="560" w:line="240" w:lineRule="auto"/>
        <w:ind w:left="0" w:right="0" w:firstLine="0"/>
        <w:jc w:val="left"/>
      </w:pPr>
      <w:r>
        <w:rPr>
          <w:rStyle w:val="CharStyle15"/>
          <w:lang w:val="en-US" w:eastAsia="en-US"/>
        </w:rPr>
        <w:t xml:space="preserve">28 </w:t>
      </w:r>
      <w:r>
        <w:rPr>
          <w:rStyle w:val="CharStyle15"/>
        </w:rPr>
        <w:t xml:space="preserve">апреля </w:t>
      </w:r>
      <w:r>
        <w:rPr>
          <w:rStyle w:val="CharStyle15"/>
          <w:lang w:val="en-US" w:eastAsia="en-US"/>
        </w:rPr>
        <w:t xml:space="preserve">2026 </w:t>
      </w:r>
      <w:r>
        <w:rPr>
          <w:rStyle w:val="CharStyle15"/>
        </w:rPr>
        <w:t>года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Комиссия Управления Федеральной антимонопольной службы по Республике Коми по контролю в сфере закупок в составе: Дейберт О.И. </w:t>
      </w:r>
      <w:r>
        <w:rPr>
          <w:rStyle w:val="CharStyle15"/>
          <w:lang w:val="en-US" w:eastAsia="en-US"/>
        </w:rPr>
        <w:t xml:space="preserve">– </w:t>
      </w:r>
      <w:r>
        <w:rPr>
          <w:rStyle w:val="CharStyle15"/>
        </w:rPr>
        <w:t xml:space="preserve">заместителя руководителя управления </w:t>
      </w:r>
      <w:r>
        <w:rPr>
          <w:rStyle w:val="CharStyle15"/>
          <w:lang w:val="en-US" w:eastAsia="en-US"/>
        </w:rPr>
        <w:t xml:space="preserve">– </w:t>
      </w:r>
      <w:r>
        <w:rPr>
          <w:rStyle w:val="CharStyle15"/>
        </w:rPr>
        <w:t xml:space="preserve">начальника отдела контроля закупок, председателя Комиссии; Сандул Н.В. </w:t>
      </w:r>
      <w:r>
        <w:rPr>
          <w:rStyle w:val="CharStyle15"/>
          <w:lang w:val="en-US" w:eastAsia="en-US"/>
        </w:rPr>
        <w:t xml:space="preserve">– </w:t>
      </w:r>
      <w:r>
        <w:rPr>
          <w:rStyle w:val="CharStyle15"/>
        </w:rPr>
        <w:t xml:space="preserve">ведущего специалиста-эксперта управления, члена комиссии; Мокиенко А.А. </w:t>
      </w:r>
      <w:r>
        <w:rPr>
          <w:rStyle w:val="CharStyle15"/>
          <w:lang w:val="en-US" w:eastAsia="en-US"/>
        </w:rPr>
        <w:t xml:space="preserve">– </w:t>
      </w:r>
      <w:r>
        <w:rPr>
          <w:rStyle w:val="CharStyle15"/>
        </w:rPr>
        <w:t xml:space="preserve">специалиста </w:t>
      </w:r>
      <w:r>
        <w:rPr>
          <w:rStyle w:val="CharStyle15"/>
          <w:lang w:val="en-US" w:eastAsia="en-US"/>
        </w:rPr>
        <w:t xml:space="preserve">- </w:t>
      </w:r>
      <w:r>
        <w:rPr>
          <w:rStyle w:val="CharStyle15"/>
        </w:rPr>
        <w:t xml:space="preserve">эксперта управления, члена Комиссии (далее </w:t>
      </w:r>
      <w:r>
        <w:rPr>
          <w:rStyle w:val="CharStyle15"/>
          <w:lang w:val="en-US" w:eastAsia="en-US"/>
        </w:rPr>
        <w:t xml:space="preserve">- </w:t>
      </w:r>
      <w:r>
        <w:rPr>
          <w:rStyle w:val="CharStyle15"/>
        </w:rPr>
        <w:t xml:space="preserve">Комиссия Коми УФАС России), рассмотрев жалобу общества с ограниченной ответственностью «Миллениум Кэпитал» (далее </w:t>
      </w:r>
      <w:r>
        <w:rPr>
          <w:rStyle w:val="CharStyle15"/>
          <w:lang w:val="en-US" w:eastAsia="en-US"/>
        </w:rPr>
        <w:t xml:space="preserve">- </w:t>
      </w:r>
      <w:r>
        <w:rPr>
          <w:rStyle w:val="CharStyle15"/>
        </w:rPr>
        <w:t xml:space="preserve">ООО «Миллениум Кэпитал», заявитель) от </w:t>
      </w:r>
      <w:r>
        <w:rPr>
          <w:rStyle w:val="CharStyle15"/>
          <w:lang w:val="en-US" w:eastAsia="en-US"/>
        </w:rPr>
        <w:t xml:space="preserve">21.04.2026 № 4 </w:t>
      </w:r>
      <w:r>
        <w:rPr>
          <w:rStyle w:val="CharStyle15"/>
        </w:rPr>
        <w:t xml:space="preserve">(вх. </w:t>
      </w:r>
      <w:r>
        <w:rPr>
          <w:rStyle w:val="CharStyle15"/>
          <w:lang w:val="en-US" w:eastAsia="en-US"/>
        </w:rPr>
        <w:t xml:space="preserve">№ 4166/26 </w:t>
      </w:r>
      <w:r>
        <w:rPr>
          <w:rStyle w:val="CharStyle15"/>
        </w:rPr>
        <w:t xml:space="preserve">от </w:t>
      </w:r>
      <w:r>
        <w:rPr>
          <w:rStyle w:val="CharStyle15"/>
          <w:lang w:val="en-US" w:eastAsia="en-US"/>
        </w:rPr>
        <w:t xml:space="preserve">22.04.2026) </w:t>
      </w:r>
      <w:r>
        <w:rPr>
          <w:rStyle w:val="CharStyle15"/>
        </w:rPr>
        <w:t xml:space="preserve">на действия комиссии по осуществлению закупки </w:t>
      </w:r>
      <w:r>
        <w:rPr>
          <w:rStyle w:val="CharStyle15"/>
          <w:lang w:val="en-US" w:eastAsia="en-US"/>
        </w:rPr>
        <w:t xml:space="preserve">— </w:t>
      </w:r>
      <w:r>
        <w:rPr>
          <w:rStyle w:val="CharStyle15"/>
        </w:rPr>
        <w:t xml:space="preserve">государственного казенного учреждения Республики Коми «Центр обеспечения организации и проведения торгов» (далее </w:t>
      </w:r>
      <w:r>
        <w:rPr>
          <w:rStyle w:val="CharStyle15"/>
          <w:lang w:val="en-US" w:eastAsia="en-US"/>
        </w:rPr>
        <w:t xml:space="preserve">- </w:t>
      </w:r>
      <w:r>
        <w:rPr>
          <w:rStyle w:val="CharStyle15"/>
        </w:rPr>
        <w:t xml:space="preserve">ГКУ РК «ЦООиПТ») при осуществлении закупки путем проведения электронного аукциона «Поставка установки для обеззараживания и измельчения медицинских отходов на объект капитального строительства «Республиканская инфекционная больница в г. Сыктывкаре </w:t>
      </w:r>
      <w:r>
        <w:rPr>
          <w:rStyle w:val="CharStyle15"/>
          <w:lang w:val="en-US" w:eastAsia="en-US"/>
        </w:rPr>
        <w:t xml:space="preserve">(I </w:t>
      </w:r>
      <w:r>
        <w:rPr>
          <w:rStyle w:val="CharStyle15"/>
        </w:rPr>
        <w:t xml:space="preserve">этап)», извещение </w:t>
      </w:r>
      <w:r>
        <w:rPr>
          <w:rStyle w:val="CharStyle15"/>
          <w:lang w:val="en-US" w:eastAsia="en-US"/>
        </w:rPr>
        <w:t>№ 0307200030626000608,</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при участии в заседании Комиссии посредством веб-конференции:</w:t>
      </w:r>
    </w:p>
    <w:p>
      <w:pPr>
        <w:pStyle w:val="Style14"/>
        <w:keepNext w:val="0"/>
        <w:keepLines w:val="0"/>
        <w:widowControl w:val="0"/>
        <w:numPr>
          <w:ilvl w:val="0"/>
          <w:numId w:val="1"/>
        </w:numPr>
        <w:shd w:val="clear" w:color="auto" w:fill="auto"/>
        <w:tabs>
          <w:tab w:pos="1004" w:val="left"/>
        </w:tabs>
        <w:bidi w:val="0"/>
        <w:spacing w:before="0" w:after="260" w:line="240" w:lineRule="auto"/>
        <w:ind w:left="0" w:right="0" w:firstLine="740"/>
        <w:jc w:val="both"/>
      </w:pPr>
      <w:r>
        <w:rPr>
          <w:rStyle w:val="CharStyle15"/>
        </w:rPr>
        <w:t xml:space="preserve">Беркутова В.Б., представителя ООО «Миллениум Кэпитал» по доверенности </w:t>
      </w:r>
      <w:r>
        <w:rPr>
          <w:rStyle w:val="CharStyle15"/>
          <w:lang w:val="en-US" w:eastAsia="en-US"/>
        </w:rPr>
        <w:t>№ 1</w:t>
      </w:r>
    </w:p>
    <w:p>
      <w:pPr>
        <w:pStyle w:val="Style19"/>
        <w:keepNext/>
        <w:keepLines/>
        <w:widowControl w:val="0"/>
        <w:shd w:val="clear" w:color="auto" w:fill="auto"/>
        <w:bidi w:val="0"/>
        <w:spacing w:before="0" w:line="240" w:lineRule="auto"/>
        <w:ind w:left="0" w:right="0" w:firstLine="0"/>
        <w:jc w:val="both"/>
        <w:sectPr>
          <w:footnotePr>
            <w:pos w:val="pageBottom"/>
            <w:numFmt w:val="decimal"/>
            <w:numRestart w:val="continuous"/>
          </w:footnotePr>
          <w:type w:val="continuous"/>
          <w:pgSz w:w="11900" w:h="16840"/>
          <w:pgMar w:top="423" w:right="541" w:bottom="401" w:left="1097" w:header="0" w:footer="3" w:gutter="0"/>
          <w:cols w:space="720"/>
          <w:noEndnote/>
          <w:rtlGutter w:val="0"/>
          <w:docGrid w:linePitch="360"/>
        </w:sectPr>
      </w:pPr>
      <w:bookmarkStart w:id="2" w:name="bookmark2"/>
      <w:r>
        <w:rPr>
          <w:rStyle w:val="CharStyle20"/>
        </w:rPr>
        <w:t>1IIIIIIIIIIIIIIIIIIIIIII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от </w:t>
      </w:r>
      <w:r>
        <w:rPr>
          <w:rStyle w:val="CharStyle15"/>
          <w:lang w:val="en-US" w:eastAsia="en-US"/>
        </w:rPr>
        <w:t>27.04.2026;</w:t>
      </w:r>
    </w:p>
    <w:p>
      <w:pPr>
        <w:pStyle w:val="Style14"/>
        <w:keepNext w:val="0"/>
        <w:keepLines w:val="0"/>
        <w:widowControl w:val="0"/>
        <w:numPr>
          <w:ilvl w:val="0"/>
          <w:numId w:val="1"/>
        </w:numPr>
        <w:shd w:val="clear" w:color="auto" w:fill="auto"/>
        <w:tabs>
          <w:tab w:pos="947" w:val="left"/>
        </w:tabs>
        <w:bidi w:val="0"/>
        <w:spacing w:before="0" w:after="0" w:line="240" w:lineRule="auto"/>
        <w:ind w:left="0" w:right="0" w:firstLine="740"/>
        <w:jc w:val="both"/>
      </w:pPr>
      <w:r>
        <w:rPr>
          <w:rStyle w:val="CharStyle15"/>
        </w:rPr>
        <w:t xml:space="preserve">Сушкова А.С., представителя ООО «Миллениум Кэпитал» по доверенности </w:t>
      </w:r>
      <w:r>
        <w:rPr>
          <w:rStyle w:val="CharStyle15"/>
          <w:lang w:val="en-US" w:eastAsia="en-US"/>
        </w:rPr>
        <w:t xml:space="preserve">№ 2 </w:t>
      </w:r>
      <w:r>
        <w:rPr>
          <w:rStyle w:val="CharStyle15"/>
        </w:rPr>
        <w:t xml:space="preserve">от </w:t>
      </w:r>
      <w:r>
        <w:rPr>
          <w:rStyle w:val="CharStyle15"/>
          <w:lang w:val="en-US" w:eastAsia="en-US"/>
        </w:rPr>
        <w:t>27.04.2026;</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при участии в заседании Комиссии, находясь в помещении Коми УФАС России:</w:t>
      </w:r>
    </w:p>
    <w:p>
      <w:pPr>
        <w:pStyle w:val="Style14"/>
        <w:keepNext w:val="0"/>
        <w:keepLines w:val="0"/>
        <w:widowControl w:val="0"/>
        <w:numPr>
          <w:ilvl w:val="0"/>
          <w:numId w:val="1"/>
        </w:numPr>
        <w:shd w:val="clear" w:color="auto" w:fill="auto"/>
        <w:tabs>
          <w:tab w:pos="937" w:val="left"/>
        </w:tabs>
        <w:bidi w:val="0"/>
        <w:spacing w:before="0" w:after="0" w:line="240" w:lineRule="auto"/>
        <w:ind w:left="0" w:right="0" w:firstLine="740"/>
        <w:jc w:val="both"/>
      </w:pPr>
      <w:r>
        <w:rPr>
          <w:rStyle w:val="CharStyle15"/>
        </w:rPr>
        <w:t xml:space="preserve">Шуплецовой Т.Т., представителя ГКУ РК «ЦООиПТ» по доверенности </w:t>
      </w:r>
      <w:r>
        <w:rPr>
          <w:rStyle w:val="CharStyle15"/>
          <w:lang w:val="en-US" w:eastAsia="en-US"/>
        </w:rPr>
        <w:t xml:space="preserve">№ 2 </w:t>
      </w:r>
      <w:r>
        <w:rPr>
          <w:rStyle w:val="CharStyle15"/>
        </w:rPr>
        <w:t xml:space="preserve">от </w:t>
      </w:r>
      <w:r>
        <w:rPr>
          <w:rStyle w:val="CharStyle15"/>
          <w:lang w:val="en-US" w:eastAsia="en-US"/>
        </w:rPr>
        <w:t>12.01.2026;</w:t>
      </w:r>
    </w:p>
    <w:p>
      <w:pPr>
        <w:pStyle w:val="Style14"/>
        <w:keepNext w:val="0"/>
        <w:keepLines w:val="0"/>
        <w:widowControl w:val="0"/>
        <w:numPr>
          <w:ilvl w:val="0"/>
          <w:numId w:val="1"/>
        </w:numPr>
        <w:shd w:val="clear" w:color="auto" w:fill="auto"/>
        <w:tabs>
          <w:tab w:pos="937" w:val="left"/>
        </w:tabs>
        <w:bidi w:val="0"/>
        <w:spacing w:before="0" w:after="0" w:line="240" w:lineRule="auto"/>
        <w:ind w:left="0" w:right="0" w:firstLine="740"/>
        <w:jc w:val="both"/>
      </w:pPr>
      <w:r>
        <w:rPr>
          <w:rStyle w:val="CharStyle15"/>
        </w:rPr>
        <w:t xml:space="preserve">Якимовой Ю.А., представителя ГКУ РК «ЦООиПТ» по доверенности </w:t>
      </w:r>
      <w:r>
        <w:rPr>
          <w:rStyle w:val="CharStyle15"/>
          <w:lang w:val="en-US" w:eastAsia="en-US"/>
        </w:rPr>
        <w:t xml:space="preserve">№ 4 </w:t>
      </w:r>
      <w:r>
        <w:rPr>
          <w:rStyle w:val="CharStyle15"/>
        </w:rPr>
        <w:t xml:space="preserve">от </w:t>
      </w:r>
      <w:r>
        <w:rPr>
          <w:rStyle w:val="CharStyle15"/>
          <w:lang w:val="en-US" w:eastAsia="en-US"/>
        </w:rPr>
        <w:t>14.01.2026;</w:t>
      </w:r>
    </w:p>
    <w:p>
      <w:pPr>
        <w:pStyle w:val="Style14"/>
        <w:keepNext w:val="0"/>
        <w:keepLines w:val="0"/>
        <w:widowControl w:val="0"/>
        <w:numPr>
          <w:ilvl w:val="0"/>
          <w:numId w:val="1"/>
        </w:numPr>
        <w:shd w:val="clear" w:color="auto" w:fill="auto"/>
        <w:tabs>
          <w:tab w:pos="942" w:val="left"/>
        </w:tabs>
        <w:bidi w:val="0"/>
        <w:spacing w:before="0" w:after="260" w:line="240" w:lineRule="auto"/>
        <w:ind w:left="0" w:right="0" w:firstLine="740"/>
        <w:jc w:val="both"/>
      </w:pPr>
      <w:r>
        <w:rPr>
          <w:rStyle w:val="CharStyle15"/>
        </w:rPr>
        <w:t xml:space="preserve">Панеевой И.С., представителя ГБУ РК «Служба единого заказчика Республики Коми» по доверенности </w:t>
      </w:r>
      <w:r>
        <w:rPr>
          <w:rStyle w:val="CharStyle15"/>
          <w:lang w:val="en-US" w:eastAsia="en-US"/>
        </w:rPr>
        <w:t xml:space="preserve">№ 7 </w:t>
      </w:r>
      <w:r>
        <w:rPr>
          <w:rStyle w:val="CharStyle15"/>
        </w:rPr>
        <w:t xml:space="preserve">от </w:t>
      </w:r>
      <w:r>
        <w:rPr>
          <w:rStyle w:val="CharStyle15"/>
          <w:lang w:val="en-US" w:eastAsia="en-US"/>
        </w:rPr>
        <w:t>14.01.2026,</w:t>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УСТАНОВИЛА: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Управление Федеральной антимонопольной службы по Республике Коми посредством функционала сайта единой информационной системы в сфере закупок: </w:t>
      </w:r>
      <w:r>
        <w:fldChar w:fldCharType="begin"/>
      </w:r>
      <w:r>
        <w:rPr/>
        <w:instrText> HYPERLINK "http://zakupki.gov.ru" </w:instrText>
      </w:r>
      <w:r>
        <w:fldChar w:fldCharType="separate"/>
      </w:r>
      <w:r>
        <w:rPr>
          <w:rStyle w:val="CharStyle15"/>
          <w:lang w:val="en-US" w:eastAsia="en-US"/>
        </w:rPr>
        <w:t>http://zakupki.gov.ru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ЕИС) </w:t>
      </w:r>
      <w:r>
        <w:rPr>
          <w:rStyle w:val="CharStyle15"/>
          <w:lang w:val="en-US" w:eastAsia="en-US"/>
        </w:rPr>
        <w:t xml:space="preserve">21.04.2026 </w:t>
      </w:r>
      <w:r>
        <w:rPr>
          <w:rStyle w:val="CharStyle15"/>
        </w:rPr>
        <w:t xml:space="preserve">ООО «Миллениум Кэпитал» направлена жалоба </w:t>
      </w:r>
      <w:r>
        <w:rPr>
          <w:rStyle w:val="CharStyle15"/>
          <w:lang w:val="en-US" w:eastAsia="en-US"/>
        </w:rPr>
        <w:t xml:space="preserve">№ 4 </w:t>
      </w:r>
      <w:r>
        <w:rPr>
          <w:rStyle w:val="CharStyle15"/>
        </w:rPr>
        <w:t xml:space="preserve">от </w:t>
      </w:r>
      <w:r>
        <w:rPr>
          <w:rStyle w:val="CharStyle15"/>
          <w:lang w:val="en-US" w:eastAsia="en-US"/>
        </w:rPr>
        <w:t xml:space="preserve">21.04.2026 </w:t>
      </w:r>
      <w:r>
        <w:rPr>
          <w:rStyle w:val="CharStyle15"/>
        </w:rPr>
        <w:t xml:space="preserve">(вх. </w:t>
      </w:r>
      <w:r>
        <w:rPr>
          <w:rStyle w:val="CharStyle15"/>
          <w:lang w:val="en-US" w:eastAsia="en-US"/>
        </w:rPr>
        <w:t xml:space="preserve">№ 4166/26 </w:t>
      </w:r>
      <w:r>
        <w:rPr>
          <w:rStyle w:val="CharStyle15"/>
        </w:rPr>
        <w:t xml:space="preserve">от </w:t>
      </w:r>
      <w:r>
        <w:rPr>
          <w:rStyle w:val="CharStyle15"/>
          <w:lang w:val="en-US" w:eastAsia="en-US"/>
        </w:rPr>
        <w:t xml:space="preserve">22.04.2026) </w:t>
      </w:r>
      <w:r>
        <w:rPr>
          <w:rStyle w:val="CharStyle15"/>
        </w:rPr>
        <w:t xml:space="preserve">на действия комиссии по осуществлению закупки </w:t>
      </w:r>
      <w:r>
        <w:rPr>
          <w:rStyle w:val="CharStyle15"/>
          <w:lang w:val="en-US" w:eastAsia="en-US"/>
        </w:rPr>
        <w:t xml:space="preserve">— </w:t>
      </w:r>
      <w:r>
        <w:rPr>
          <w:rStyle w:val="CharStyle15"/>
        </w:rPr>
        <w:t xml:space="preserve">ГКУ РК «ЦООиПТ» при проведении электронного аукциона «Поставка установки для обеззараживания и измельчения медицинских отходов на объект капитального строительства «Республиканская инфекционная больница в г. Сыктывкаре </w:t>
      </w:r>
      <w:r>
        <w:rPr>
          <w:rStyle w:val="CharStyle15"/>
          <w:lang w:val="en-US" w:eastAsia="en-US"/>
        </w:rPr>
        <w:t xml:space="preserve">( </w:t>
      </w:r>
      <w:r>
        <w:rPr>
          <w:rStyle w:val="CharStyle15"/>
        </w:rPr>
        <w:t xml:space="preserve">этап)», извещение </w:t>
      </w:r>
      <w:r>
        <w:rPr>
          <w:rStyle w:val="CharStyle15"/>
          <w:lang w:val="en-US" w:eastAsia="en-US"/>
        </w:rPr>
        <w:t xml:space="preserve">№ 0307200030626000608 </w:t>
      </w:r>
      <w:r>
        <w:rPr>
          <w:rStyle w:val="CharStyle15"/>
        </w:rPr>
        <w:t xml:space="preserve">(далее </w:t>
      </w:r>
      <w:r>
        <w:rPr>
          <w:rStyle w:val="CharStyle15"/>
          <w:lang w:val="en-US" w:eastAsia="en-US"/>
        </w:rPr>
        <w:t xml:space="preserve">- </w:t>
      </w:r>
      <w:r>
        <w:rPr>
          <w:rStyle w:val="CharStyle15"/>
        </w:rPr>
        <w:t>жалоба, закупка, электронный аукцион).</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Жалоба подготовлена в соответствии с требованиями статьи </w:t>
      </w:r>
      <w:r>
        <w:rPr>
          <w:rStyle w:val="CharStyle15"/>
          <w:lang w:val="en-US" w:eastAsia="en-US"/>
        </w:rPr>
        <w:t xml:space="preserve">105 </w:t>
      </w:r>
      <w:r>
        <w:rPr>
          <w:rStyle w:val="CharStyle15"/>
        </w:rPr>
        <w:t xml:space="preserve">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Закон о контрактной системе) и подана в срок, установленный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105 </w:t>
      </w:r>
      <w:r>
        <w:rPr>
          <w:rStyle w:val="CharStyle15"/>
        </w:rPr>
        <w:t>Закона о контрактной системе. В связи с чем, жалоба принята Коми УФАС России к рассмотрению.</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Рассмотрение жалобы назначено на </w:t>
      </w:r>
      <w:r>
        <w:rPr>
          <w:rStyle w:val="CharStyle15"/>
          <w:lang w:val="en-US" w:eastAsia="en-US"/>
        </w:rPr>
        <w:t xml:space="preserve">28.04.2026 </w:t>
      </w:r>
      <w:r>
        <w:rPr>
          <w:rStyle w:val="CharStyle15"/>
        </w:rPr>
        <w:t xml:space="preserve">с </w:t>
      </w:r>
      <w:r>
        <w:rPr>
          <w:rStyle w:val="CharStyle15"/>
          <w:lang w:val="en-US" w:eastAsia="en-US"/>
        </w:rPr>
        <w:t xml:space="preserve">14 </w:t>
      </w:r>
      <w:r>
        <w:rPr>
          <w:rStyle w:val="CharStyle15"/>
        </w:rPr>
        <w:t xml:space="preserve">час. </w:t>
      </w:r>
      <w:r>
        <w:rPr>
          <w:rStyle w:val="CharStyle15"/>
          <w:lang w:val="en-US" w:eastAsia="en-US"/>
        </w:rPr>
        <w:t xml:space="preserve">15 </w:t>
      </w:r>
      <w:r>
        <w:rPr>
          <w:rStyle w:val="CharStyle15"/>
        </w:rPr>
        <w:t xml:space="preserve">мин. о чем сторонам: ООО «Миллениум Кэпитал», ГКУ РК «ЦООиПТ», ГБУ РК «Служба единого заказчика Республики Коми», ООО «РТС-тендер» (далее </w:t>
      </w:r>
      <w:r>
        <w:rPr>
          <w:rStyle w:val="CharStyle15"/>
          <w:lang w:val="en-US" w:eastAsia="en-US"/>
        </w:rPr>
        <w:t xml:space="preserve">– </w:t>
      </w:r>
      <w:r>
        <w:rPr>
          <w:rStyle w:val="CharStyle15"/>
        </w:rPr>
        <w:t xml:space="preserve">оператор электронной площадки) сообщено путем направления </w:t>
      </w:r>
      <w:r>
        <w:rPr>
          <w:rStyle w:val="CharStyle15"/>
          <w:lang w:val="en-US" w:eastAsia="en-US"/>
        </w:rPr>
        <w:t xml:space="preserve">22.04.2026 </w:t>
      </w:r>
      <w:r>
        <w:rPr>
          <w:rStyle w:val="CharStyle15"/>
        </w:rPr>
        <w:t>по электронной почте уведомления о времени, дате и месте рассмотрения жалобы с указанием гиперссылки для участия в веб</w:t>
        <w:softHyphen/>
        <w:t>конференции с одновременным размещением такой информации в ЕИС.</w:t>
      </w:r>
    </w:p>
    <w:p>
      <w:pPr>
        <w:pStyle w:val="Style14"/>
        <w:keepNext w:val="0"/>
        <w:keepLines w:val="0"/>
        <w:widowControl w:val="0"/>
        <w:shd w:val="clear" w:color="auto" w:fill="auto"/>
        <w:bidi w:val="0"/>
        <w:spacing w:before="0" w:after="0" w:line="240" w:lineRule="auto"/>
        <w:ind w:left="0" w:right="0" w:firstLine="740"/>
        <w:jc w:val="both"/>
      </w:pPr>
      <w:r>
        <w:rPr>
          <w:rStyle w:val="CharStyle15"/>
        </w:rPr>
        <w:t>С учетом законодательно установленных сроков рассмотрения жалобы отсутствие представителя оператора электронной площадки не препятствует рассмотрению жалобы по существу.</w:t>
      </w:r>
    </w:p>
    <w:p>
      <w:pPr>
        <w:pStyle w:val="Style14"/>
        <w:keepNext w:val="0"/>
        <w:keepLines w:val="0"/>
        <w:widowControl w:val="0"/>
        <w:numPr>
          <w:ilvl w:val="0"/>
          <w:numId w:val="3"/>
        </w:numPr>
        <w:shd w:val="clear" w:color="auto" w:fill="auto"/>
        <w:tabs>
          <w:tab w:pos="1038" w:val="left"/>
        </w:tabs>
        <w:bidi w:val="0"/>
        <w:spacing w:before="0" w:after="0" w:line="240" w:lineRule="auto"/>
        <w:ind w:left="0" w:right="0" w:firstLine="740"/>
        <w:jc w:val="both"/>
      </w:pPr>
      <w:r>
        <w:rPr>
          <w:rStyle w:val="CharStyle15"/>
        </w:rPr>
        <w:t xml:space="preserve">ООО «Миллениум Кэпитал» обжалует действие комиссии ГКУ РК «ЦООиПТ» в виде отклонения заявки общества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а именно:</w:t>
      </w:r>
    </w:p>
    <w:p>
      <w:pPr>
        <w:pStyle w:val="Style14"/>
        <w:keepNext w:val="0"/>
        <w:keepLines w:val="0"/>
        <w:widowControl w:val="0"/>
        <w:shd w:val="clear" w:color="auto" w:fill="auto"/>
        <w:bidi w:val="0"/>
        <w:spacing w:before="0" w:after="260" w:line="240" w:lineRule="auto"/>
        <w:ind w:left="0" w:right="0" w:firstLine="740"/>
        <w:jc w:val="both"/>
      </w:pPr>
      <w:r>
        <w:rPr>
          <w:rStyle w:val="CharStyle15"/>
          <w:i/>
          <w:iCs/>
        </w:rPr>
        <w:t xml:space="preserve">«Выявление недостоверной информации о предлагаемом медицинском изделии: «Наименование медицинского изделия в соответствии с РУ: ФСЗ </w:t>
      </w:r>
      <w:r>
        <w:rPr>
          <w:rStyle w:val="CharStyle15"/>
          <w:i/>
          <w:iCs/>
          <w:lang w:val="en-US" w:eastAsia="en-US"/>
        </w:rPr>
        <w:t xml:space="preserve">2011/09641 </w:t>
      </w:r>
      <w:r>
        <w:rPr>
          <w:rStyle w:val="CharStyle15"/>
          <w:i/>
          <w:iCs/>
        </w:rPr>
        <w:t xml:space="preserve">Установка для утилизации и термического обезвреживания (с измельчением и автоматической упаковкой) медицинских отходов </w:t>
      </w:r>
      <w:r>
        <w:rPr>
          <w:rStyle w:val="CharStyle15"/>
          <w:i/>
          <w:iCs/>
          <w:lang w:val="en-US" w:eastAsia="en-US"/>
        </w:rPr>
        <w:t xml:space="preserve">"Newster" </w:t>
      </w:r>
      <w:r>
        <w:rPr>
          <w:rStyle w:val="CharStyle15"/>
          <w:i/>
          <w:iCs/>
        </w:rPr>
        <w:t xml:space="preserve">("Ньюстер") с принадлежностями» в заявке участника значение характеристики «напряжение питающей сети» указано </w:t>
      </w:r>
      <w:r>
        <w:rPr>
          <w:rStyle w:val="CharStyle15"/>
          <w:i/>
          <w:iCs/>
          <w:lang w:val="en-US" w:eastAsia="en-US"/>
        </w:rPr>
        <w:t xml:space="preserve">- 380 </w:t>
      </w:r>
      <w:r>
        <w:rPr>
          <w:rStyle w:val="CharStyle15"/>
          <w:i/>
          <w:iCs/>
        </w:rPr>
        <w:t xml:space="preserve">Вольт, «потребление воды л/час» указано </w:t>
      </w:r>
      <w:r>
        <w:rPr>
          <w:rStyle w:val="CharStyle15"/>
          <w:i/>
          <w:iCs/>
          <w:lang w:val="en-US" w:eastAsia="en-US"/>
        </w:rPr>
        <w:t xml:space="preserve">70 </w:t>
      </w:r>
      <w:r>
        <w:rPr>
          <w:rStyle w:val="CharStyle15"/>
          <w:i/>
          <w:iCs/>
        </w:rPr>
        <w:t xml:space="preserve">л; в руководстве пользователя регистрационного удостоверения №ФСЗ </w:t>
      </w:r>
      <w:r>
        <w:rPr>
          <w:rStyle w:val="CharStyle15"/>
          <w:i/>
          <w:iCs/>
          <w:lang w:val="en-US" w:eastAsia="en-US"/>
        </w:rPr>
        <w:t xml:space="preserve">2011/09641 </w:t>
      </w:r>
      <w:r>
        <w:rPr>
          <w:rStyle w:val="CharStyle15"/>
          <w:i/>
          <w:iCs/>
        </w:rPr>
        <w:t xml:space="preserve">от </w:t>
      </w:r>
      <w:r>
        <w:rPr>
          <w:rStyle w:val="CharStyle15"/>
          <w:i/>
          <w:iCs/>
          <w:lang w:val="en-US" w:eastAsia="en-US"/>
        </w:rPr>
        <w:t xml:space="preserve">29 </w:t>
      </w:r>
      <w:r>
        <w:rPr>
          <w:rStyle w:val="CharStyle15"/>
          <w:i/>
          <w:iCs/>
        </w:rPr>
        <w:t xml:space="preserve">июня </w:t>
      </w:r>
      <w:r>
        <w:rPr>
          <w:rStyle w:val="CharStyle15"/>
          <w:i/>
          <w:iCs/>
          <w:lang w:val="en-US" w:eastAsia="en-US"/>
        </w:rPr>
        <w:t xml:space="preserve">2020 </w:t>
      </w:r>
      <w:r>
        <w:rPr>
          <w:rStyle w:val="CharStyle15"/>
          <w:i/>
          <w:iCs/>
        </w:rPr>
        <w:t xml:space="preserve">года на товар ««Установка для утилизации и термического обезвреживания (обеззараживания с измельчением и автоматической упаковкой) медицинских отходов </w:t>
      </w:r>
      <w:r>
        <w:rPr>
          <w:rStyle w:val="CharStyle15"/>
          <w:i/>
          <w:iCs/>
          <w:lang w:val="en-US" w:eastAsia="en-US"/>
        </w:rPr>
        <w:t xml:space="preserve">"Newster"» </w:t>
      </w:r>
      <w:r>
        <w:rPr>
          <w:rStyle w:val="CharStyle15"/>
          <w:i/>
          <w:iCs/>
        </w:rPr>
        <w:t xml:space="preserve">указано напряжение </w:t>
      </w:r>
      <w:r>
        <w:rPr>
          <w:rStyle w:val="CharStyle15"/>
          <w:i/>
          <w:iCs/>
          <w:lang w:val="en-US" w:eastAsia="en-US"/>
        </w:rPr>
        <w:t>- «400</w:t>
      </w:r>
    </w:p>
    <w:p>
      <w:pPr>
        <w:pStyle w:val="Style14"/>
        <w:keepNext w:val="0"/>
        <w:keepLines w:val="0"/>
        <w:widowControl w:val="0"/>
        <w:shd w:val="clear" w:color="auto" w:fill="auto"/>
        <w:bidi w:val="0"/>
        <w:spacing w:before="0" w:after="0" w:line="240" w:lineRule="auto"/>
        <w:ind w:left="0" w:right="0" w:firstLine="0"/>
        <w:jc w:val="both"/>
      </w:pPr>
      <w:r>
        <w:rPr>
          <w:rStyle w:val="CharStyle15"/>
          <w:i/>
          <w:iCs/>
        </w:rPr>
        <w:t xml:space="preserve">Вольт» и потребление воды «около </w:t>
      </w:r>
      <w:r>
        <w:rPr>
          <w:rStyle w:val="CharStyle15"/>
          <w:i/>
          <w:iCs/>
          <w:lang w:val="en-US" w:eastAsia="en-US"/>
        </w:rPr>
        <w:t xml:space="preserve">75 </w:t>
      </w:r>
      <w:r>
        <w:rPr>
          <w:rStyle w:val="CharStyle15"/>
          <w:i/>
          <w:iCs/>
        </w:rPr>
        <w:t xml:space="preserve">л», что подтверждается информацией, опубликованной на официальном сайте Росздравнадзора. Участник закупки соответствует требованиям Федерального закона </w:t>
      </w:r>
      <w:r>
        <w:rPr>
          <w:rStyle w:val="CharStyle15"/>
          <w:i/>
          <w:iCs/>
          <w:lang w:val="en-US" w:eastAsia="en-US"/>
        </w:rPr>
        <w:t xml:space="preserve">№ </w:t>
      </w:r>
      <w:r>
        <w:rPr>
          <w:rStyle w:val="CharStyle15"/>
          <w:i/>
          <w:iCs/>
        </w:rPr>
        <w:t>44-ФЗ и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740"/>
        <w:jc w:val="both"/>
      </w:pPr>
      <w:r>
        <w:rPr>
          <w:rStyle w:val="CharStyle15"/>
        </w:rPr>
        <w:t>С данным решением заявитель не согласен, считает такое решение противоречащим требованиям Закона о контрактной системе.</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Указывает, что в заявке на участие в закупке им был предложен товар </w:t>
      </w:r>
      <w:r>
        <w:rPr>
          <w:rStyle w:val="CharStyle15"/>
          <w:lang w:val="en-US" w:eastAsia="en-US"/>
        </w:rPr>
        <w:t xml:space="preserve">- </w:t>
      </w:r>
      <w:r>
        <w:rPr>
          <w:rStyle w:val="CharStyle15"/>
        </w:rPr>
        <w:t xml:space="preserve">Установка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 xml:space="preserve">("Ньюстер") с принадлежностями), регистрационное удостоверение ФСЗ </w:t>
      </w:r>
      <w:r>
        <w:rPr>
          <w:rStyle w:val="CharStyle15"/>
          <w:lang w:val="en-US" w:eastAsia="en-US"/>
        </w:rPr>
        <w:t xml:space="preserve">2011/09641, </w:t>
      </w:r>
      <w:r>
        <w:rPr>
          <w:rStyle w:val="CharStyle15"/>
        </w:rPr>
        <w:t>производитель «НЬЮСТЕР СИСТЕМ» С.р.л, Италия.</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При этом обращает внимание, что в соответствии с документацией и ст. </w:t>
      </w:r>
      <w:r>
        <w:rPr>
          <w:rStyle w:val="CharStyle15"/>
          <w:lang w:val="en-US" w:eastAsia="en-US"/>
        </w:rPr>
        <w:t xml:space="preserve">14 </w:t>
      </w:r>
      <w:r>
        <w:rPr>
          <w:rStyle w:val="CharStyle15"/>
        </w:rPr>
        <w:t>Закона о контрактной системе при проведении конкурса для участника предложившего Товар иностранного производства установлены ценовые преференции в виде понижения цены контракта. Таким образом, по мнению заявителя, его предложение о поставке могло существенно снизить цену контракта для заказчика.</w:t>
      </w:r>
    </w:p>
    <w:p>
      <w:pPr>
        <w:pStyle w:val="Style14"/>
        <w:keepNext w:val="0"/>
        <w:keepLines w:val="0"/>
        <w:widowControl w:val="0"/>
        <w:shd w:val="clear" w:color="auto" w:fill="auto"/>
        <w:bidi w:val="0"/>
        <w:spacing w:before="0" w:after="0" w:line="240" w:lineRule="auto"/>
        <w:ind w:left="0" w:right="0" w:firstLine="740"/>
        <w:jc w:val="both"/>
      </w:pPr>
      <w:r>
        <w:rPr>
          <w:rStyle w:val="CharStyle15"/>
        </w:rPr>
        <w:t>Отмечает, что под совокупность требований извещения, соответствуют только два производителя:</w:t>
      </w:r>
    </w:p>
    <w:p>
      <w:pPr>
        <w:pStyle w:val="Style14"/>
        <w:keepNext w:val="0"/>
        <w:keepLines w:val="0"/>
        <w:widowControl w:val="0"/>
        <w:numPr>
          <w:ilvl w:val="0"/>
          <w:numId w:val="3"/>
        </w:numPr>
        <w:shd w:val="clear" w:color="auto" w:fill="auto"/>
        <w:tabs>
          <w:tab w:pos="1052" w:val="left"/>
        </w:tabs>
        <w:bidi w:val="0"/>
        <w:spacing w:before="0" w:after="0" w:line="240" w:lineRule="auto"/>
        <w:ind w:left="0" w:right="0" w:firstLine="740"/>
        <w:jc w:val="both"/>
      </w:pPr>
      <w:r>
        <w:rPr>
          <w:rStyle w:val="CharStyle15"/>
        </w:rPr>
        <w:t xml:space="preserve">Установка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 xml:space="preserve">("Ньюстер'') ФСЗ </w:t>
      </w:r>
      <w:r>
        <w:rPr>
          <w:rStyle w:val="CharStyle15"/>
          <w:lang w:val="en-US" w:eastAsia="en-US"/>
        </w:rPr>
        <w:t xml:space="preserve">2011/09641, </w:t>
      </w:r>
      <w:r>
        <w:rPr>
          <w:rStyle w:val="CharStyle15"/>
        </w:rPr>
        <w:t>страна Италия (ОТКЛОНЕН на этап итогового протокола).</w:t>
      </w:r>
    </w:p>
    <w:p>
      <w:pPr>
        <w:pStyle w:val="Style14"/>
        <w:keepNext w:val="0"/>
        <w:keepLines w:val="0"/>
        <w:widowControl w:val="0"/>
        <w:numPr>
          <w:ilvl w:val="0"/>
          <w:numId w:val="3"/>
        </w:numPr>
        <w:shd w:val="clear" w:color="auto" w:fill="auto"/>
        <w:tabs>
          <w:tab w:pos="1057" w:val="left"/>
        </w:tabs>
        <w:bidi w:val="0"/>
        <w:spacing w:before="0" w:after="0" w:line="240" w:lineRule="auto"/>
        <w:ind w:left="0" w:right="0" w:firstLine="740"/>
        <w:jc w:val="both"/>
      </w:pPr>
      <w:r>
        <w:rPr>
          <w:rStyle w:val="CharStyle15"/>
        </w:rPr>
        <w:t xml:space="preserve">Установка «ОМОДЕЗ» для обеззараживания, обезвреживания и переработки медицинских отходов по ТУ </w:t>
      </w:r>
      <w:r>
        <w:rPr>
          <w:rStyle w:val="CharStyle15"/>
          <w:lang w:val="en-US" w:eastAsia="en-US"/>
        </w:rPr>
        <w:t xml:space="preserve">32.50.50-001-37931325-2020, </w:t>
      </w:r>
      <w:r>
        <w:rPr>
          <w:rStyle w:val="CharStyle15"/>
        </w:rPr>
        <w:t xml:space="preserve">РЗН </w:t>
      </w:r>
      <w:r>
        <w:rPr>
          <w:rStyle w:val="CharStyle15"/>
          <w:lang w:val="en-US" w:eastAsia="en-US"/>
        </w:rPr>
        <w:t xml:space="preserve">2022/16320, </w:t>
      </w:r>
      <w:r>
        <w:rPr>
          <w:rStyle w:val="CharStyle15"/>
        </w:rPr>
        <w:t>Страна Россия (Допущен как единственный участник).</w:t>
      </w:r>
    </w:p>
    <w:p>
      <w:pPr>
        <w:pStyle w:val="Style14"/>
        <w:keepNext w:val="0"/>
        <w:keepLines w:val="0"/>
        <w:widowControl w:val="0"/>
        <w:shd w:val="clear" w:color="auto" w:fill="auto"/>
        <w:bidi w:val="0"/>
        <w:spacing w:before="0" w:after="0" w:line="240" w:lineRule="auto"/>
        <w:ind w:left="0" w:right="0" w:firstLine="740"/>
        <w:jc w:val="both"/>
      </w:pPr>
      <w:r>
        <w:rPr>
          <w:rStyle w:val="CharStyle15"/>
        </w:rPr>
        <w:t>Указывает, что в соответствии с аукционной документацией заказчиком установлены требования к оборудованию, которое подлежит поставке:</w:t>
      </w:r>
    </w:p>
    <w:p>
      <w:pPr>
        <w:pStyle w:val="Style14"/>
        <w:keepNext w:val="0"/>
        <w:keepLines w:val="0"/>
        <w:widowControl w:val="0"/>
        <w:numPr>
          <w:ilvl w:val="0"/>
          <w:numId w:val="5"/>
        </w:numPr>
        <w:shd w:val="clear" w:color="auto" w:fill="auto"/>
        <w:tabs>
          <w:tab w:pos="981" w:val="left"/>
        </w:tabs>
        <w:bidi w:val="0"/>
        <w:spacing w:before="0" w:after="0" w:line="240" w:lineRule="auto"/>
        <w:ind w:left="0" w:right="0" w:firstLine="740"/>
        <w:jc w:val="both"/>
      </w:pPr>
      <w:r>
        <w:rPr>
          <w:rStyle w:val="CharStyle15"/>
        </w:rPr>
        <w:t xml:space="preserve">расход воды ниже </w:t>
      </w:r>
      <w:r>
        <w:rPr>
          <w:rStyle w:val="CharStyle15"/>
          <w:lang w:val="en-US" w:eastAsia="en-US"/>
        </w:rPr>
        <w:t xml:space="preserve">70 </w:t>
      </w:r>
      <w:r>
        <w:rPr>
          <w:rStyle w:val="CharStyle15"/>
        </w:rPr>
        <w:t>литров в час,</w:t>
      </w:r>
    </w:p>
    <w:p>
      <w:pPr>
        <w:pStyle w:val="Style14"/>
        <w:keepNext w:val="0"/>
        <w:keepLines w:val="0"/>
        <w:widowControl w:val="0"/>
        <w:numPr>
          <w:ilvl w:val="0"/>
          <w:numId w:val="5"/>
        </w:numPr>
        <w:shd w:val="clear" w:color="auto" w:fill="auto"/>
        <w:tabs>
          <w:tab w:pos="961" w:val="left"/>
        </w:tabs>
        <w:bidi w:val="0"/>
        <w:spacing w:before="0" w:after="0" w:line="240" w:lineRule="auto"/>
        <w:ind w:left="0" w:right="0" w:firstLine="720"/>
        <w:jc w:val="both"/>
      </w:pPr>
      <w:r>
        <w:rPr>
          <w:rStyle w:val="CharStyle15"/>
        </w:rPr>
        <w:t xml:space="preserve">продолжительности цикла не более </w:t>
      </w:r>
      <w:r>
        <w:rPr>
          <w:rStyle w:val="CharStyle15"/>
          <w:lang w:val="en-US" w:eastAsia="en-US"/>
        </w:rPr>
        <w:t xml:space="preserve">30 </w:t>
      </w:r>
      <w:r>
        <w:rPr>
          <w:rStyle w:val="CharStyle15"/>
        </w:rPr>
        <w:t>минут.</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При этом, предложенный к поставке товар </w:t>
      </w:r>
      <w:r>
        <w:rPr>
          <w:rStyle w:val="CharStyle15"/>
          <w:lang w:val="en-US" w:eastAsia="en-US"/>
        </w:rPr>
        <w:t xml:space="preserve">- «NEWSTER-10” </w:t>
      </w:r>
      <w:r>
        <w:rPr>
          <w:rStyle w:val="CharStyle15"/>
        </w:rPr>
        <w:t xml:space="preserve">(согласно информации, размещенной на сайте Росздравнадзора) имеет разное время работы. Время цикла может составлять </w:t>
      </w:r>
      <w:r>
        <w:rPr>
          <w:rStyle w:val="CharStyle15"/>
          <w:lang w:val="en-US" w:eastAsia="en-US"/>
        </w:rPr>
        <w:t xml:space="preserve">20 </w:t>
      </w:r>
      <w:r>
        <w:rPr>
          <w:rStyle w:val="CharStyle15"/>
        </w:rPr>
        <w:t xml:space="preserve">минут или </w:t>
      </w:r>
      <w:r>
        <w:rPr>
          <w:rStyle w:val="CharStyle15"/>
          <w:lang w:val="en-US" w:eastAsia="en-US"/>
        </w:rPr>
        <w:t xml:space="preserve">30 </w:t>
      </w:r>
      <w:r>
        <w:rPr>
          <w:rStyle w:val="CharStyle15"/>
        </w:rPr>
        <w:t xml:space="preserve">минут (табл. </w:t>
      </w:r>
      <w:r>
        <w:rPr>
          <w:rStyle w:val="CharStyle15"/>
          <w:lang w:val="en-US" w:eastAsia="en-US"/>
        </w:rPr>
        <w:t xml:space="preserve">1.5 </w:t>
      </w:r>
      <w:r>
        <w:rPr>
          <w:rStyle w:val="CharStyle15"/>
        </w:rPr>
        <w:t xml:space="preserve">на стр. </w:t>
      </w:r>
      <w:r>
        <w:rPr>
          <w:rStyle w:val="CharStyle15"/>
          <w:lang w:val="en-US" w:eastAsia="en-US"/>
        </w:rPr>
        <w:t xml:space="preserve">28 </w:t>
      </w:r>
      <w:r>
        <w:rPr>
          <w:rStyle w:val="CharStyle15"/>
        </w:rPr>
        <w:t xml:space="preserve">и п. </w:t>
      </w:r>
      <w:r>
        <w:rPr>
          <w:rStyle w:val="CharStyle15"/>
          <w:lang w:val="en-US" w:eastAsia="en-US"/>
        </w:rPr>
        <w:t xml:space="preserve">3.1 </w:t>
      </w:r>
      <w:r>
        <w:rPr>
          <w:rStyle w:val="CharStyle15"/>
        </w:rPr>
        <w:t xml:space="preserve">на стр. </w:t>
      </w:r>
      <w:r>
        <w:rPr>
          <w:rStyle w:val="CharStyle15"/>
          <w:lang w:val="en-US" w:eastAsia="en-US"/>
        </w:rPr>
        <w:t xml:space="preserve">31) </w:t>
      </w:r>
      <w:r>
        <w:rPr>
          <w:rStyle w:val="CharStyle15"/>
        </w:rPr>
        <w:t xml:space="preserve">и по сообщению производителя, указанное значение параметра как ОКОЛО 75л/мин указывает на значение не конкретное и взято с учетом погрешности. При продолжительности цикла </w:t>
      </w:r>
      <w:r>
        <w:rPr>
          <w:rStyle w:val="CharStyle15"/>
          <w:lang w:val="en-US" w:eastAsia="en-US"/>
        </w:rPr>
        <w:t xml:space="preserve">30 </w:t>
      </w:r>
      <w:r>
        <w:rPr>
          <w:rStyle w:val="CharStyle15"/>
        </w:rPr>
        <w:t xml:space="preserve">минут, то есть при наименьшем количестве циклов в час расход воды ниже </w:t>
      </w:r>
      <w:r>
        <w:rPr>
          <w:rStyle w:val="CharStyle15"/>
          <w:lang w:val="en-US" w:eastAsia="en-US"/>
        </w:rPr>
        <w:t xml:space="preserve">70 </w:t>
      </w:r>
      <w:r>
        <w:rPr>
          <w:rStyle w:val="CharStyle15"/>
        </w:rPr>
        <w:t xml:space="preserve">литров в час, о чем есть официальное подтверждение от эксклюзивного дистрибьютора </w:t>
      </w:r>
      <w:r>
        <w:rPr>
          <w:rStyle w:val="CharStyle15"/>
          <w:lang w:val="en-US" w:eastAsia="en-US"/>
        </w:rPr>
        <w:t xml:space="preserve">NEWSTER System Srl. </w:t>
      </w:r>
      <w:r>
        <w:rPr>
          <w:rStyle w:val="CharStyle15"/>
        </w:rPr>
        <w:t>компании ООО «Меди Уэйст».</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Обращает внимание, что в заявке им была указана продолжительность цикла переработки </w:t>
      </w:r>
      <w:r>
        <w:rPr>
          <w:rStyle w:val="CharStyle15"/>
          <w:lang w:val="en-US" w:eastAsia="en-US"/>
        </w:rPr>
        <w:t xml:space="preserve">30 </w:t>
      </w:r>
      <w:r>
        <w:rPr>
          <w:rStyle w:val="CharStyle15"/>
        </w:rPr>
        <w:t xml:space="preserve">минут (при требовании </w:t>
      </w:r>
      <w:r>
        <w:rPr>
          <w:rStyle w:val="CharStyle15"/>
          <w:lang w:val="en-US" w:eastAsia="en-US"/>
        </w:rPr>
        <w:t xml:space="preserve">≤30 </w:t>
      </w:r>
      <w:r>
        <w:rPr>
          <w:rStyle w:val="CharStyle15"/>
        </w:rPr>
        <w:t xml:space="preserve">минут), соответственно и потребление воды меньше </w:t>
      </w:r>
      <w:r>
        <w:rPr>
          <w:rStyle w:val="CharStyle15"/>
          <w:lang w:val="en-US" w:eastAsia="en-US"/>
        </w:rPr>
        <w:t xml:space="preserve">70 </w:t>
      </w:r>
      <w:r>
        <w:rPr>
          <w:rStyle w:val="CharStyle15"/>
        </w:rPr>
        <w:t>литров в час.</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Относительно признания комиссией недостоверной информацией указание им в заявке значения характеристики «напряжение питающей сети» </w:t>
      </w:r>
      <w:r>
        <w:rPr>
          <w:rStyle w:val="CharStyle15"/>
          <w:lang w:val="en-US" w:eastAsia="en-US"/>
        </w:rPr>
        <w:t xml:space="preserve">- «380 </w:t>
      </w:r>
      <w:r>
        <w:rPr>
          <w:rStyle w:val="CharStyle15"/>
        </w:rPr>
        <w:t xml:space="preserve">Вольт» заявитель отмечает, что указанное выше значение </w:t>
      </w:r>
      <w:r>
        <w:rPr>
          <w:rStyle w:val="CharStyle15"/>
          <w:lang w:val="en-US" w:eastAsia="en-US"/>
        </w:rPr>
        <w:t xml:space="preserve">(380 </w:t>
      </w:r>
      <w:r>
        <w:rPr>
          <w:rStyle w:val="CharStyle15"/>
        </w:rPr>
        <w:t xml:space="preserve">В) полностью соответствует значению инструкции производителя и не может противоречить значению в </w:t>
      </w:r>
      <w:r>
        <w:rPr>
          <w:rStyle w:val="CharStyle15"/>
          <w:lang w:val="en-US" w:eastAsia="en-US"/>
        </w:rPr>
        <w:t xml:space="preserve">400 </w:t>
      </w:r>
      <w:r>
        <w:rPr>
          <w:rStyle w:val="CharStyle15"/>
        </w:rPr>
        <w:t>В, так как фактически данное значение и требование извещения указывает на один единственный факт, что потребность и нужда учреждения заключается в трехфазной сети подключения аппарата, а не однофазной.</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Ссылается на ГОСТ </w:t>
      </w:r>
      <w:r>
        <w:rPr>
          <w:rStyle w:val="CharStyle15"/>
          <w:lang w:val="en-US" w:eastAsia="en-US"/>
        </w:rPr>
        <w:t xml:space="preserve">29322-2014, </w:t>
      </w:r>
      <w:r>
        <w:rPr>
          <w:rStyle w:val="CharStyle15"/>
        </w:rPr>
        <w:t xml:space="preserve">введенным в действие с </w:t>
      </w:r>
      <w:r>
        <w:rPr>
          <w:rStyle w:val="CharStyle15"/>
          <w:lang w:val="en-US" w:eastAsia="en-US"/>
        </w:rPr>
        <w:t xml:space="preserve">01.10.2015 </w:t>
      </w:r>
      <w:r>
        <w:rPr>
          <w:rStyle w:val="CharStyle15"/>
        </w:rPr>
        <w:t xml:space="preserve">приказом Федерального агентства по техническому регулированию и метрологии от </w:t>
      </w:r>
      <w:r>
        <w:rPr>
          <w:rStyle w:val="CharStyle15"/>
          <w:lang w:val="en-US" w:eastAsia="en-US"/>
        </w:rPr>
        <w:t xml:space="preserve">25.11.2014 № </w:t>
      </w:r>
      <w:r>
        <w:rPr>
          <w:rStyle w:val="CharStyle15"/>
        </w:rPr>
        <w:t>1745-ст.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Обращает внимание, что значение 230/400В является результатом эволюции систем 220/380В и 240/415В, которые завершили использовать в Европе и во многих других странах, однако системы 220/380В и 240/415В до сих пор продолжают применять.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как указывает заявитель, </w:t>
      </w:r>
      <w:r>
        <w:rPr>
          <w:rStyle w:val="CharStyle15"/>
          <w:lang w:val="en-US" w:eastAsia="en-US"/>
        </w:rPr>
        <w:t xml:space="preserve">380 </w:t>
      </w:r>
      <w:r>
        <w:rPr>
          <w:rStyle w:val="CharStyle15"/>
        </w:rPr>
        <w:t xml:space="preserve">и </w:t>
      </w:r>
      <w:r>
        <w:rPr>
          <w:rStyle w:val="CharStyle15"/>
          <w:lang w:val="en-US" w:eastAsia="en-US"/>
        </w:rPr>
        <w:t xml:space="preserve">400 </w:t>
      </w:r>
      <w:r>
        <w:rPr>
          <w:rStyle w:val="CharStyle15"/>
        </w:rPr>
        <w:t>являются идентичными значениями, указывающими на потребность в трехфазной сети.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как отмечает заявитель, данный факт подробно отражен и в инструкции второго производителя, заявка которого была допущена в единственном лице и не отклонена по аналогичному доводу, поскольку данный производитель также в составе инструкции указывает </w:t>
      </w:r>
      <w:r>
        <w:rPr>
          <w:rStyle w:val="CharStyle15"/>
          <w:lang w:val="en-US" w:eastAsia="en-US"/>
        </w:rPr>
        <w:t>400.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Считает, что Комиссия допустила нарушения, выразившиеся в ошибочном толковании параметров товара, предложенного к участию в аукционе, что привело к необоснованному отклонению его заявки.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Полагает, что Комиссией при принятии решения были учтены не все данные, в том числе пропущены письма от производителя, однозначно указывающие на соответствие параметрам, установленным Заказчиком в составе извещения, в ином случае Заказчик проводит закупку как у единственного поставщика, что противоречит добросовестной конкуренции при проведении электронного аукциона.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Просит признать жалобу обоснованной, провести внеплановую проверку, приостановить проведение процедуры в части заключения контракта до внесения изменений в итоговый протокол, выдать обязательное предписание об устранении нарушений.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ГКУ РК «ЦООиПТ», ГКУ РК «Служба единого заказчика Республики Коми» в письмах от </w:t>
      </w:r>
      <w:r>
        <w:rPr>
          <w:rStyle w:val="CharStyle15"/>
          <w:lang w:val="en-US" w:eastAsia="en-US"/>
        </w:rPr>
        <w:t xml:space="preserve">27.04.2026 № 09-02/41 </w:t>
      </w:r>
      <w:r>
        <w:rPr>
          <w:rStyle w:val="CharStyle15"/>
        </w:rPr>
        <w:t xml:space="preserve">(вх. </w:t>
      </w:r>
      <w:r>
        <w:rPr>
          <w:rStyle w:val="CharStyle15"/>
          <w:lang w:val="en-US" w:eastAsia="en-US"/>
        </w:rPr>
        <w:t xml:space="preserve">№ 4415/26 </w:t>
      </w:r>
      <w:r>
        <w:rPr>
          <w:rStyle w:val="CharStyle15"/>
        </w:rPr>
        <w:t xml:space="preserve">от </w:t>
      </w:r>
      <w:r>
        <w:rPr>
          <w:rStyle w:val="CharStyle15"/>
          <w:lang w:val="en-US" w:eastAsia="en-US"/>
        </w:rPr>
        <w:t xml:space="preserve">27.04.2026), </w:t>
      </w:r>
      <w:r>
        <w:rPr>
          <w:rStyle w:val="CharStyle15"/>
        </w:rPr>
        <w:t xml:space="preserve">от </w:t>
      </w:r>
      <w:r>
        <w:rPr>
          <w:rStyle w:val="CharStyle15"/>
          <w:lang w:val="en-US" w:eastAsia="en-US"/>
        </w:rPr>
        <w:t xml:space="preserve">27.04.2026 № 03-03/106 </w:t>
      </w:r>
      <w:r>
        <w:rPr>
          <w:rStyle w:val="CharStyle15"/>
        </w:rPr>
        <w:t xml:space="preserve">(вх. </w:t>
      </w:r>
      <w:r>
        <w:rPr>
          <w:rStyle w:val="CharStyle15"/>
          <w:lang w:val="en-US" w:eastAsia="en-US"/>
        </w:rPr>
        <w:t xml:space="preserve">№ </w:t>
      </w:r>
      <w:r>
        <w:rPr>
          <w:rStyle w:val="CharStyle15"/>
        </w:rPr>
        <w:t xml:space="preserve">4430-эп/26 от </w:t>
      </w:r>
      <w:r>
        <w:rPr>
          <w:rStyle w:val="CharStyle15"/>
          <w:lang w:val="en-US" w:eastAsia="en-US"/>
        </w:rPr>
        <w:t xml:space="preserve">27.04.2026) </w:t>
      </w:r>
      <w:r>
        <w:rPr>
          <w:rStyle w:val="CharStyle15"/>
        </w:rPr>
        <w:t>на жалобу ООО «Миллениум Кэпитал», а также на заседании Комиссии, заявлены возражения относительно позиции заявителя.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Письмом от </w:t>
      </w:r>
      <w:r>
        <w:rPr>
          <w:rStyle w:val="CharStyle15"/>
          <w:lang w:val="en-US" w:eastAsia="en-US"/>
        </w:rPr>
        <w:t xml:space="preserve">23.04.2026 </w:t>
      </w:r>
      <w:r>
        <w:rPr>
          <w:rStyle w:val="CharStyle15"/>
        </w:rPr>
        <w:t xml:space="preserve">(вх. </w:t>
      </w:r>
      <w:r>
        <w:rPr>
          <w:rStyle w:val="CharStyle15"/>
          <w:lang w:val="en-US" w:eastAsia="en-US"/>
        </w:rPr>
        <w:t xml:space="preserve">№ </w:t>
      </w:r>
      <w:r>
        <w:rPr>
          <w:rStyle w:val="CharStyle15"/>
        </w:rPr>
        <w:t xml:space="preserve">4262-эп/26 от </w:t>
      </w:r>
      <w:r>
        <w:rPr>
          <w:rStyle w:val="CharStyle15"/>
          <w:lang w:val="en-US" w:eastAsia="en-US"/>
        </w:rPr>
        <w:t xml:space="preserve">23.04.2026) </w:t>
      </w:r>
      <w:r>
        <w:rPr>
          <w:rStyle w:val="CharStyle15"/>
        </w:rPr>
        <w:t>ООО «РТС-тендер» представлены заявки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Коми УФАС России в ходе проведения внеплановой проверки осуществления закупки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указанном извещении, заявками участников закупки, заслушав представителей сторон, пришла к нижеследующим выводам.</w:t>
      </w:r>
    </w:p>
    <w:p>
      <w:pPr>
        <w:pStyle w:val="Style14"/>
        <w:keepNext w:val="0"/>
        <w:keepLines w:val="0"/>
        <w:widowControl w:val="0"/>
        <w:numPr>
          <w:ilvl w:val="0"/>
          <w:numId w:val="7"/>
        </w:numPr>
        <w:shd w:val="clear" w:color="auto" w:fill="auto"/>
        <w:tabs>
          <w:tab w:pos="1054" w:val="left"/>
        </w:tabs>
        <w:bidi w:val="0"/>
        <w:spacing w:before="0" w:after="0" w:line="240" w:lineRule="auto"/>
        <w:ind w:left="0" w:right="0" w:firstLine="720"/>
        <w:jc w:val="both"/>
      </w:pPr>
      <w:r>
        <w:rPr>
          <w:rStyle w:val="CharStyle15"/>
          <w:lang w:val="en-US" w:eastAsia="en-US"/>
        </w:rPr>
        <w:t xml:space="preserve">31.03.2026 </w:t>
      </w:r>
      <w:r>
        <w:rPr>
          <w:rStyle w:val="CharStyle15"/>
        </w:rPr>
        <w:t xml:space="preserve">уполномоченным учреждением </w:t>
      </w:r>
      <w:r>
        <w:rPr>
          <w:rStyle w:val="CharStyle15"/>
          <w:lang w:val="en-US" w:eastAsia="en-US"/>
        </w:rPr>
        <w:t xml:space="preserve">- </w:t>
      </w:r>
      <w:r>
        <w:rPr>
          <w:rStyle w:val="CharStyle15"/>
        </w:rPr>
        <w:t xml:space="preserve">ГКУ РК «ЦООиПТ», наделенным в соответствии с постановлением Правительства Республики Коми от </w:t>
      </w:r>
      <w:r>
        <w:rPr>
          <w:rStyle w:val="CharStyle15"/>
          <w:lang w:val="en-US" w:eastAsia="en-US"/>
        </w:rPr>
        <w:t xml:space="preserve">04.02.2022 № 45 </w:t>
      </w:r>
      <w:r>
        <w:rPr>
          <w:rStyle w:val="CharStyle15"/>
        </w:rPr>
        <w:t xml:space="preserve">«О централизации закупок товаров, работ, услуг для нужд Республики Коми» функциями по определению поставщиков (подрядчиков, исполнителей) для заказчиков Республики Коми, в том числе путем проведения электронных аукционов, на официальном сайте Единой информационной системы в сфере закупок </w:t>
      </w:r>
      <w:r>
        <w:rPr>
          <w:rStyle w:val="CharStyle15"/>
          <w:lang w:val="en-US" w:eastAsia="en-US"/>
        </w:rPr>
        <w:t xml:space="preserve">–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(далее </w:t>
      </w:r>
      <w:r>
        <w:rPr>
          <w:rStyle w:val="CharStyle15"/>
          <w:lang w:val="en-US" w:eastAsia="en-US"/>
        </w:rPr>
        <w:t xml:space="preserve">- </w:t>
      </w:r>
      <w:r>
        <w:rPr>
          <w:rStyle w:val="CharStyle15"/>
        </w:rPr>
        <w:t xml:space="preserve">ЕИС) размещено извещение о проведении электронного аукциона для закупки </w:t>
      </w:r>
      <w:r>
        <w:rPr>
          <w:rStyle w:val="CharStyle15"/>
          <w:lang w:val="en-US" w:eastAsia="en-US"/>
        </w:rPr>
        <w:t xml:space="preserve">№ 0307200030626000608 </w:t>
      </w:r>
      <w:r>
        <w:rPr>
          <w:rStyle w:val="CharStyle15"/>
        </w:rPr>
        <w:t>с содержащимися при нем электронными документами.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Наименование объекта закупки </w:t>
      </w:r>
      <w:r>
        <w:rPr>
          <w:rStyle w:val="CharStyle15"/>
          <w:lang w:val="en-US" w:eastAsia="en-US"/>
        </w:rPr>
        <w:t xml:space="preserve">– </w:t>
      </w:r>
      <w:r>
        <w:rPr>
          <w:rStyle w:val="CharStyle15"/>
        </w:rPr>
        <w:t xml:space="preserve">«Поставка установки для обеззараживания и измельчения медицинских отходов на объект капитального строительства «Республиканская инфекционная больница в г. Сыктывкаре </w:t>
      </w:r>
      <w:r>
        <w:rPr>
          <w:rStyle w:val="CharStyle15"/>
          <w:lang w:val="en-US" w:eastAsia="en-US"/>
        </w:rPr>
        <w:t xml:space="preserve">(I </w:t>
      </w:r>
      <w:r>
        <w:rPr>
          <w:rStyle w:val="CharStyle15"/>
        </w:rPr>
        <w:t>этап)».</w:t>
      </w:r>
    </w:p>
    <w:p>
      <w:pPr>
        <w:pStyle w:val="Style14"/>
        <w:keepNext w:val="0"/>
        <w:keepLines w:val="0"/>
        <w:widowControl w:val="0"/>
        <w:shd w:val="clear" w:color="auto" w:fill="auto"/>
        <w:bidi w:val="0"/>
        <w:spacing w:before="0" w:after="0" w:line="240" w:lineRule="auto"/>
        <w:ind w:left="0" w:right="0" w:firstLine="720"/>
        <w:jc w:val="both"/>
      </w:pPr>
      <w:r>
        <w:rPr>
          <w:rStyle w:val="CharStyle15"/>
        </w:rPr>
        <w:t>Заказчиком закупки явилось ГКУ РК «Служба единого заказчика Республики Коми».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w:t>
      </w:r>
      <w:r>
        <w:rPr>
          <w:rStyle w:val="CharStyle15"/>
          <w:lang w:val="en-US" w:eastAsia="en-US"/>
        </w:rPr>
        <w:t xml:space="preserve">- 17 290 000,00 </w:t>
      </w:r>
      <w:r>
        <w:rPr>
          <w:rStyle w:val="CharStyle15"/>
        </w:rPr>
        <w:t>руб.</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15.04.2026 07:00.</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проведения процедуры подачи предложений о цене контракта либо о сумме цен единиц товара, работы, услуги </w:t>
      </w:r>
      <w:r>
        <w:rPr>
          <w:rStyle w:val="CharStyle15"/>
          <w:lang w:val="en-US" w:eastAsia="en-US"/>
        </w:rPr>
        <w:t>- 15.04.2026.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подведения итогов определения поставщика (подрядчика, исполнителя) </w:t>
      </w:r>
      <w:r>
        <w:rPr>
          <w:rStyle w:val="CharStyle15"/>
          <w:lang w:val="en-US" w:eastAsia="en-US"/>
        </w:rPr>
        <w:t>— 17.04.2026.</w:t>
      </w:r>
    </w:p>
    <w:p>
      <w:pPr>
        <w:pStyle w:val="Style14"/>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rStyle w:val="CharStyle15"/>
        </w:rPr>
        <w:t xml:space="preserve">В силу частей </w:t>
      </w:r>
      <w:r>
        <w:rPr>
          <w:rStyle w:val="CharStyle15"/>
          <w:lang w:val="en-US" w:eastAsia="en-US"/>
        </w:rPr>
        <w:t xml:space="preserve">1, 2 </w:t>
      </w:r>
      <w:r>
        <w:rPr>
          <w:rStyle w:val="CharStyle15"/>
        </w:rPr>
        <w:t xml:space="preserve">статьи </w:t>
      </w:r>
      <w:r>
        <w:rPr>
          <w:rStyle w:val="CharStyle15"/>
          <w:lang w:val="en-US" w:eastAsia="en-US"/>
        </w:rPr>
        <w:t xml:space="preserve">8 </w:t>
      </w:r>
      <w:r>
        <w:rPr>
          <w:rStyle w:val="CharStyle15"/>
        </w:rPr>
        <w:t>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Одним из конкурентных способов определения поставщиков (подрядчиков, исполнителей) является, согласно пункту </w:t>
      </w:r>
      <w:r>
        <w:rPr>
          <w:rStyle w:val="CharStyle15"/>
          <w:lang w:val="en-US" w:eastAsia="en-US"/>
        </w:rPr>
        <w:t xml:space="preserve">2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24 </w:t>
      </w:r>
      <w:r>
        <w:rPr>
          <w:rStyle w:val="CharStyle15"/>
        </w:rPr>
        <w:t>Закона о контрактной системе, в том числе аукцион (открытый аукцион в электронной форме (далее электронный аукцион).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части </w:t>
      </w:r>
      <w:r>
        <w:rPr>
          <w:rStyle w:val="CharStyle15"/>
          <w:lang w:val="en-US" w:eastAsia="en-US"/>
        </w:rPr>
        <w:t xml:space="preserve">1 </w:t>
      </w:r>
      <w:r>
        <w:rPr>
          <w:rStyle w:val="CharStyle15"/>
        </w:rPr>
        <w:t xml:space="preserve">статьи </w:t>
      </w:r>
      <w:r>
        <w:rPr>
          <w:rStyle w:val="CharStyle15"/>
          <w:lang w:val="en-US" w:eastAsia="en-US"/>
        </w:rPr>
        <w:t xml:space="preserve">49 </w:t>
      </w:r>
      <w:r>
        <w:rPr>
          <w:rStyle w:val="CharStyle15"/>
        </w:rPr>
        <w:t>Закона о контрактной системе определено, что электронный аукцион начинается с размещения в единой информационной системе извещения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5"/>
          <w:lang w:val="en-US" w:eastAsia="en-US"/>
        </w:rPr>
        <w:t xml:space="preserve">33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системе описание объекта закупки в соответствии с требованиями, указанными в части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3 </w:t>
      </w:r>
      <w:r>
        <w:rPr>
          <w:rStyle w:val="CharStyle15"/>
        </w:rPr>
        <w:t xml:space="preserve">статьи </w:t>
      </w:r>
      <w:r>
        <w:rPr>
          <w:rStyle w:val="CharStyle15"/>
          <w:lang w:val="en-US" w:eastAsia="en-US"/>
        </w:rPr>
        <w:t xml:space="preserve">33 </w:t>
      </w:r>
      <w:r>
        <w:rPr>
          <w:rStyle w:val="CharStyle15"/>
        </w:rPr>
        <w:t>Закона о контрактной системе 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14"/>
        <w:keepNext w:val="0"/>
        <w:keepLines w:val="0"/>
        <w:widowControl w:val="0"/>
        <w:shd w:val="clear" w:color="auto" w:fill="auto"/>
        <w:bidi w:val="0"/>
        <w:spacing w:before="0" w:after="0" w:line="240" w:lineRule="auto"/>
        <w:ind w:left="0" w:right="0" w:firstLine="720"/>
        <w:jc w:val="both"/>
        <w:sectPr>
          <w:headerReference w:type="default" r:id="rId8"/>
          <w:footerReference w:type="default" r:id="rId9"/>
          <w:footnotePr>
            <w:pos w:val="pageBottom"/>
            <w:numFmt w:val="decimal"/>
            <w:numRestart w:val="continuous"/>
          </w:footnotePr>
          <w:pgSz w:w="11900" w:h="16840"/>
          <w:pgMar w:top="798" w:right="532" w:bottom="1292" w:left="1092" w:header="0" w:footer="3" w:gutter="0"/>
          <w:cols w:space="720"/>
          <w:noEndnote/>
          <w:rtlGutter w:val="0"/>
          <w:docGrid w:linePitch="360"/>
        </w:sectPr>
      </w:pPr>
      <w:r>
        <w:rPr>
          <w:rStyle w:val="CharStyle15"/>
        </w:rPr>
        <w:t>Комиссия Коми УФАС России отмечает, что системное толкование норм Закона о</w:t>
      </w:r>
    </w:p>
    <w:p>
      <w:pPr>
        <w:pStyle w:val="Style14"/>
        <w:keepNext w:val="0"/>
        <w:keepLines w:val="0"/>
        <w:widowControl w:val="0"/>
        <w:shd w:val="clear" w:color="auto" w:fill="auto"/>
        <w:bidi w:val="0"/>
        <w:spacing w:before="0" w:after="0" w:line="240" w:lineRule="auto"/>
        <w:ind w:left="0" w:right="0" w:firstLine="0"/>
        <w:jc w:val="both"/>
      </w:pPr>
      <w:r>
        <w:rPr>
          <w:rStyle w:val="CharStyle15"/>
        </w:rPr>
        <w:t>контрактной системе позволяет сделать вывод о том, что в зависимости от своих потребностей заказчик вправе установить требования, в частности, к качеству, техническим характеристикам (потребительским свойствам) товара с учетом специфики его деятельности и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 Закон о контрактной системе не обязывает заказчика при определении характеристик поставляемого товара устанавливать такие характеристики, которые соответствовали бы всем существующим типам, видам, моделям, маркам товара, не предусматривает ограничения по включению требований к товарам, являющихся значимыми для заказчика, равно как и не предусматривает обязанность заказчика обосновывать свои потребности и причины при установлении требований к товарам и их характеристикам. Выбор показателей и характеристик объекта закупки остается за заказчиком.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Следовательно,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из буквального толкования названных положений следует, что заказчики, осуществляющие закупку по правилам Закона о контрактной системе,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5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Закона о контактной системе при осуществлении закупки путем проведения открытых конкурентных способов заказчик формирует с использованием ЕИС, подписывает усиленной электронной подписью лица, имеющего право действовать от имени заказчика, и размещает в ЕИС извещение об осуществлении закупки, содержащее следующую информацию:</w:t>
      </w:r>
    </w:p>
    <w:p>
      <w:pPr>
        <w:pStyle w:val="Style14"/>
        <w:keepNext w:val="0"/>
        <w:keepLines w:val="0"/>
        <w:widowControl w:val="0"/>
        <w:numPr>
          <w:ilvl w:val="0"/>
          <w:numId w:val="9"/>
        </w:numPr>
        <w:shd w:val="clear" w:color="auto" w:fill="auto"/>
        <w:tabs>
          <w:tab w:pos="946" w:val="left"/>
        </w:tabs>
        <w:bidi w:val="0"/>
        <w:spacing w:before="0" w:after="0" w:line="240" w:lineRule="auto"/>
        <w:ind w:left="0" w:right="0" w:firstLine="720"/>
        <w:jc w:val="both"/>
      </w:pPr>
      <w:r>
        <w:rPr>
          <w:rStyle w:val="CharStyle15"/>
        </w:rPr>
        <w:t>наименование объекта закупки;</w:t>
      </w:r>
    </w:p>
    <w:p>
      <w:pPr>
        <w:pStyle w:val="Style14"/>
        <w:keepNext w:val="0"/>
        <w:keepLines w:val="0"/>
        <w:widowControl w:val="0"/>
        <w:numPr>
          <w:ilvl w:val="0"/>
          <w:numId w:val="9"/>
        </w:numPr>
        <w:shd w:val="clear" w:color="auto" w:fill="auto"/>
        <w:tabs>
          <w:tab w:pos="937" w:val="left"/>
        </w:tabs>
        <w:bidi w:val="0"/>
        <w:spacing w:before="0" w:after="0" w:line="240" w:lineRule="auto"/>
        <w:ind w:left="0" w:right="0" w:firstLine="720"/>
        <w:jc w:val="both"/>
      </w:pPr>
      <w:r>
        <w:rPr>
          <w:rStyle w:val="CharStyle15"/>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 xml:space="preserve">Закона о контрактной системе устанавливает, что порядок формирования и ведения в ЕИС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Правила формирования КТРУ), а также правила использования указанного каталога (далее </w:t>
      </w:r>
      <w:r>
        <w:rPr>
          <w:rStyle w:val="CharStyle15"/>
          <w:lang w:val="en-US" w:eastAsia="en-US"/>
        </w:rPr>
        <w:t xml:space="preserve">– </w:t>
      </w:r>
      <w:r>
        <w:rPr>
          <w:rStyle w:val="CharStyle15"/>
        </w:rPr>
        <w:t>Правила использования КТРУ)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5"/>
          <w:lang w:val="en-US" w:eastAsia="en-US"/>
        </w:rPr>
        <w:t xml:space="preserve">08.02.2017 № 145 </w:t>
      </w:r>
      <w:r>
        <w:rPr>
          <w:rStyle w:val="CharStyle15"/>
        </w:rPr>
        <w:t xml:space="preserve">«Об утверждении Правил формирования и ведения в ЕИС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 xml:space="preserve">Постановление Правительства РФ </w:t>
      </w:r>
      <w:r>
        <w:rPr>
          <w:rStyle w:val="CharStyle15"/>
          <w:lang w:val="en-US" w:eastAsia="en-US"/>
        </w:rPr>
        <w:t>№ 145).</w:t>
      </w:r>
    </w:p>
    <w:p>
      <w:pPr>
        <w:pStyle w:val="Style14"/>
        <w:keepNext w:val="0"/>
        <w:keepLines w:val="0"/>
        <w:widowControl w:val="0"/>
        <w:shd w:val="clear" w:color="auto" w:fill="auto"/>
        <w:bidi w:val="0"/>
        <w:spacing w:before="0" w:after="0" w:line="276" w:lineRule="auto"/>
        <w:ind w:left="0" w:right="0" w:firstLine="720"/>
        <w:jc w:val="both"/>
        <w:rPr>
          <w:sz w:val="24"/>
          <w:szCs w:val="24"/>
        </w:rPr>
        <w:sectPr>
          <w:headerReference w:type="default" r:id="rId10"/>
          <w:footerReference w:type="default" r:id="rId11"/>
          <w:footnotePr>
            <w:pos w:val="pageBottom"/>
            <w:numFmt w:val="decimal"/>
            <w:numRestart w:val="continuous"/>
          </w:footnotePr>
          <w:pgSz w:w="11900" w:h="16840"/>
          <w:pgMar w:top="826" w:right="546" w:bottom="797" w:left="1106" w:header="0" w:footer="369" w:gutter="0"/>
          <w:cols w:space="720"/>
          <w:noEndnote/>
          <w:rtlGutter w:val="0"/>
          <w:docGrid w:linePitch="360"/>
        </w:sectPr>
      </w:pPr>
      <w:r>
        <w:rPr>
          <w:rStyle w:val="CharStyle15"/>
        </w:rPr>
        <w:t xml:space="preserve">Из пункта </w:t>
      </w:r>
      <w:r>
        <w:rPr>
          <w:rStyle w:val="CharStyle15"/>
          <w:lang w:val="en-US" w:eastAsia="en-US"/>
        </w:rPr>
        <w:t xml:space="preserve">4 </w:t>
      </w:r>
      <w:r>
        <w:rPr>
          <w:rStyle w:val="CharStyle15"/>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w:t>
      </w:r>
      <w:r>
        <w:rPr>
          <w:rStyle w:val="CharStyle15"/>
          <w:sz w:val="24"/>
          <w:szCs w:val="24"/>
          <w:lang w:val="en-US" w:eastAsia="en-US"/>
        </w:rPr>
        <w:t>2026-3141</w:t>
      </w:r>
    </w:p>
    <w:p>
      <w:pPr>
        <w:pStyle w:val="Style14"/>
        <w:keepNext w:val="0"/>
        <w:keepLines w:val="0"/>
        <w:widowControl w:val="0"/>
        <w:shd w:val="clear" w:color="auto" w:fill="auto"/>
        <w:bidi w:val="0"/>
        <w:spacing w:before="0" w:after="0" w:line="240" w:lineRule="auto"/>
        <w:ind w:left="0" w:right="0" w:firstLine="0"/>
        <w:jc w:val="both"/>
      </w:pPr>
      <w:r>
        <w:rPr>
          <w:rStyle w:val="CharStyle15"/>
        </w:rPr>
        <w:t>указывать согласно такой позиции следующую информацию:</w:t>
      </w:r>
    </w:p>
    <w:p>
      <w:pPr>
        <w:pStyle w:val="Style14"/>
        <w:keepNext w:val="0"/>
        <w:keepLines w:val="0"/>
        <w:widowControl w:val="0"/>
        <w:numPr>
          <w:ilvl w:val="0"/>
          <w:numId w:val="9"/>
        </w:numPr>
        <w:shd w:val="clear" w:color="auto" w:fill="auto"/>
        <w:tabs>
          <w:tab w:pos="946" w:val="left"/>
        </w:tabs>
        <w:bidi w:val="0"/>
        <w:spacing w:before="0" w:after="0" w:line="240" w:lineRule="auto"/>
        <w:ind w:left="0" w:right="0" w:firstLine="720"/>
        <w:jc w:val="both"/>
      </w:pPr>
      <w:r>
        <w:rPr>
          <w:rStyle w:val="CharStyle15"/>
        </w:rPr>
        <w:t>наименование товара, работы, услуги;</w:t>
      </w:r>
    </w:p>
    <w:p>
      <w:pPr>
        <w:pStyle w:val="Style14"/>
        <w:keepNext w:val="0"/>
        <w:keepLines w:val="0"/>
        <w:widowControl w:val="0"/>
        <w:numPr>
          <w:ilvl w:val="0"/>
          <w:numId w:val="9"/>
        </w:numPr>
        <w:shd w:val="clear" w:color="auto" w:fill="auto"/>
        <w:tabs>
          <w:tab w:pos="937" w:val="left"/>
        </w:tabs>
        <w:bidi w:val="0"/>
        <w:spacing w:before="0" w:after="0" w:line="240" w:lineRule="auto"/>
        <w:ind w:left="0" w:right="0" w:firstLine="72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9"/>
        </w:numPr>
        <w:shd w:val="clear" w:color="auto" w:fill="auto"/>
        <w:tabs>
          <w:tab w:pos="946" w:val="left"/>
        </w:tabs>
        <w:bidi w:val="0"/>
        <w:spacing w:before="0" w:after="0" w:line="240" w:lineRule="auto"/>
        <w:ind w:left="0" w:right="0" w:firstLine="720"/>
        <w:jc w:val="both"/>
      </w:pPr>
      <w:r>
        <w:rPr>
          <w:rStyle w:val="CharStyle15"/>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пунктам </w:t>
      </w:r>
      <w:r>
        <w:rPr>
          <w:rStyle w:val="CharStyle15"/>
          <w:lang w:val="en-US" w:eastAsia="en-US"/>
        </w:rPr>
        <w:t xml:space="preserve">5, 6 </w:t>
      </w:r>
      <w:r>
        <w:rPr>
          <w:rStyle w:val="CharStyle15"/>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5"/>
          <w:lang w:val="en-US" w:eastAsia="en-US"/>
        </w:rPr>
        <w:t xml:space="preserve">33 </w:t>
      </w:r>
      <w:r>
        <w:rPr>
          <w:rStyle w:val="CharStyle15"/>
        </w:rPr>
        <w:t>Федерального закона, которые не предусмотрены в позиции каталога, за исключением случаев:</w:t>
      </w:r>
    </w:p>
    <w:p>
      <w:pPr>
        <w:pStyle w:val="Style14"/>
        <w:keepNext w:val="0"/>
        <w:keepLines w:val="0"/>
        <w:widowControl w:val="0"/>
        <w:numPr>
          <w:ilvl w:val="0"/>
          <w:numId w:val="11"/>
        </w:numPr>
        <w:shd w:val="clear" w:color="auto" w:fill="auto"/>
        <w:tabs>
          <w:tab w:pos="1099" w:val="left"/>
        </w:tabs>
        <w:bidi w:val="0"/>
        <w:spacing w:before="0" w:after="0" w:line="240" w:lineRule="auto"/>
        <w:ind w:left="0" w:right="0" w:firstLine="720"/>
        <w:jc w:val="both"/>
      </w:pPr>
      <w:r>
        <w:rPr>
          <w:rStyle w:val="CharStyle15"/>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5"/>
          <w:lang w:val="en-US" w:eastAsia="en-US"/>
        </w:rPr>
        <w:t xml:space="preserve">25, 26 </w:t>
      </w:r>
      <w:r>
        <w:rPr>
          <w:rStyle w:val="CharStyle15"/>
        </w:rPr>
        <w:t xml:space="preserve">и </w:t>
      </w:r>
      <w:r>
        <w:rPr>
          <w:rStyle w:val="CharStyle15"/>
          <w:lang w:val="en-US" w:eastAsia="en-US"/>
        </w:rPr>
        <w:t xml:space="preserve">32 </w:t>
      </w:r>
      <w:r>
        <w:rPr>
          <w:rStyle w:val="CharStyle15"/>
        </w:rPr>
        <w:t xml:space="preserve">приложения </w:t>
      </w:r>
      <w:r>
        <w:rPr>
          <w:rStyle w:val="CharStyle15"/>
          <w:lang w:val="en-US" w:eastAsia="en-US"/>
        </w:rPr>
        <w:t xml:space="preserve">№ 1 </w:t>
      </w:r>
      <w:r>
        <w:rPr>
          <w:rStyle w:val="CharStyle15"/>
        </w:rPr>
        <w:t xml:space="preserve">к постановлению Правительства Российской Федерации от </w:t>
      </w:r>
      <w:r>
        <w:rPr>
          <w:rStyle w:val="CharStyle15"/>
          <w:lang w:val="en-US" w:eastAsia="en-US"/>
        </w:rPr>
        <w:t xml:space="preserve">23 </w:t>
      </w:r>
      <w:r>
        <w:rPr>
          <w:rStyle w:val="CharStyle15"/>
        </w:rPr>
        <w:t xml:space="preserve">декабря 2024г. </w:t>
      </w:r>
      <w:r>
        <w:rPr>
          <w:rStyle w:val="CharStyle15"/>
          <w:lang w:val="en-US" w:eastAsia="en-US"/>
        </w:rPr>
        <w:t xml:space="preserve">№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w:t>
      </w:r>
      <w:r>
        <w:rPr>
          <w:rStyle w:val="CharStyle15"/>
          <w:lang w:val="en-US" w:eastAsia="en-US"/>
        </w:rPr>
        <w:t xml:space="preserve">191 - 361 </w:t>
      </w:r>
      <w:r>
        <w:rPr>
          <w:rStyle w:val="CharStyle15"/>
        </w:rPr>
        <w:t xml:space="preserve">приложения </w:t>
      </w:r>
      <w:r>
        <w:rPr>
          <w:rStyle w:val="CharStyle15"/>
          <w:lang w:val="en-US" w:eastAsia="en-US"/>
        </w:rPr>
        <w:t xml:space="preserve">№ 2 </w:t>
      </w:r>
      <w:r>
        <w:rPr>
          <w:rStyle w:val="CharStyle15"/>
        </w:rPr>
        <w:t xml:space="preserve">к указанному постановлению, применяются предусмотренные пунктом </w:t>
      </w:r>
      <w:r>
        <w:rPr>
          <w:rStyle w:val="CharStyle15"/>
          <w:lang w:val="en-US" w:eastAsia="en-US"/>
        </w:rPr>
        <w:t xml:space="preserve">1 </w:t>
      </w:r>
      <w:r>
        <w:rPr>
          <w:rStyle w:val="CharStyle15"/>
        </w:rPr>
        <w:t>указанного постановления запрет, ограничение соответственно;</w:t>
      </w:r>
    </w:p>
    <w:p>
      <w:pPr>
        <w:pStyle w:val="Style14"/>
        <w:keepNext w:val="0"/>
        <w:keepLines w:val="0"/>
        <w:widowControl w:val="0"/>
        <w:numPr>
          <w:ilvl w:val="0"/>
          <w:numId w:val="11"/>
        </w:numPr>
        <w:shd w:val="clear" w:color="auto" w:fill="auto"/>
        <w:tabs>
          <w:tab w:pos="1099" w:val="left"/>
        </w:tabs>
        <w:bidi w:val="0"/>
        <w:spacing w:before="0" w:after="0" w:line="240" w:lineRule="auto"/>
        <w:ind w:left="0" w:right="0" w:firstLine="720"/>
        <w:jc w:val="both"/>
      </w:pPr>
      <w:r>
        <w:rPr>
          <w:rStyle w:val="CharStyle15"/>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5"/>
          <w:lang w:val="en-US" w:eastAsia="en-US"/>
        </w:rPr>
        <w:t xml:space="preserve">5 </w:t>
      </w:r>
      <w:r>
        <w:rPr>
          <w:rStyle w:val="CharStyle15"/>
        </w:rPr>
        <w:t xml:space="preserve">статьи </w:t>
      </w:r>
      <w:r>
        <w:rPr>
          <w:rStyle w:val="CharStyle15"/>
          <w:lang w:val="en-US" w:eastAsia="en-US"/>
        </w:rPr>
        <w:t xml:space="preserve">33 </w:t>
      </w:r>
      <w:r>
        <w:rPr>
          <w:rStyle w:val="CharStyle15"/>
        </w:rPr>
        <w:t>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случае предоставления дополнительной информации, предусмотренной пунктом </w:t>
      </w:r>
      <w:r>
        <w:rPr>
          <w:rStyle w:val="CharStyle15"/>
          <w:lang w:val="en-US" w:eastAsia="en-US"/>
        </w:rPr>
        <w:t xml:space="preserve">5 </w:t>
      </w:r>
      <w:r>
        <w:rPr>
          <w:rStyle w:val="CharStyle15"/>
        </w:rPr>
        <w:t>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7 </w:t>
      </w:r>
      <w:r>
        <w:rPr>
          <w:rStyle w:val="CharStyle15"/>
        </w:rPr>
        <w:t xml:space="preserve">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w:t>
      </w:r>
      <w:r>
        <w:rPr>
          <w:rStyle w:val="CharStyle15"/>
          <w:lang w:val="en-US" w:eastAsia="en-US"/>
        </w:rPr>
        <w:t xml:space="preserve">08.02.2017 № 145, </w:t>
      </w:r>
      <w:r>
        <w:rPr>
          <w:rStyle w:val="CharStyle15"/>
        </w:rPr>
        <w:t xml:space="preserve">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5"/>
          <w:lang w:val="en-US" w:eastAsia="en-US"/>
        </w:rPr>
        <w:t xml:space="preserve">33 </w:t>
      </w:r>
      <w:r>
        <w:rPr>
          <w:rStyle w:val="CharStyle15"/>
        </w:rPr>
        <w:t>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Коми УФАС России установлено, что, согласно извещению о проведении электронного аукциона для закупки </w:t>
      </w:r>
      <w:r>
        <w:rPr>
          <w:rStyle w:val="CharStyle15"/>
          <w:lang w:val="en-US" w:eastAsia="en-US"/>
        </w:rPr>
        <w:t xml:space="preserve">№ 0307200030626000608, </w:t>
      </w:r>
      <w:r>
        <w:rPr>
          <w:rStyle w:val="CharStyle15"/>
        </w:rPr>
        <w:t xml:space="preserve">Заказчиком закупается товар </w:t>
      </w:r>
      <w:r>
        <w:rPr>
          <w:rStyle w:val="CharStyle15"/>
          <w:lang w:val="en-US" w:eastAsia="en-US"/>
        </w:rPr>
        <w:t xml:space="preserve">- </w:t>
      </w:r>
      <w:r>
        <w:rPr>
          <w:rStyle w:val="CharStyle15"/>
        </w:rPr>
        <w:t xml:space="preserve">Установка для деструкции и обеззараживания медицинских отходов, при этом указано на соответствие закупаемого товара позиции КТРУ: </w:t>
      </w:r>
      <w:r>
        <w:rPr>
          <w:rStyle w:val="CharStyle15"/>
          <w:lang w:val="en-US" w:eastAsia="en-US"/>
        </w:rPr>
        <w:t>32.50.50.190-00000621.</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Код позиции КТРУ </w:t>
      </w:r>
      <w:r>
        <w:rPr>
          <w:rStyle w:val="CharStyle15"/>
          <w:lang w:val="en-US" w:eastAsia="en-US"/>
        </w:rPr>
        <w:t xml:space="preserve">32.50.50.190-00000621 </w:t>
      </w:r>
      <w:r>
        <w:rPr>
          <w:rStyle w:val="CharStyle15"/>
        </w:rPr>
        <w:t xml:space="preserve">«Установка для деструкции и обеззараживания медицинских отходов» не содержит описания объекта закупки, следовательно, описание объекта закупки сформировано Заказчиком в соответствии со статьей </w:t>
      </w:r>
      <w:r>
        <w:rPr>
          <w:rStyle w:val="CharStyle15"/>
          <w:lang w:val="en-US" w:eastAsia="en-US"/>
        </w:rPr>
        <w:t xml:space="preserve">33 </w:t>
      </w:r>
      <w:r>
        <w:rPr>
          <w:rStyle w:val="CharStyle15"/>
        </w:rPr>
        <w:t>Закона о контрактной системе (установлены характеристики товара, полностью удовлетворяющие требованиям Заказчика).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Функциональные характеристики (потребительские свойства), качественные характеристики товара, а также перечень конкретных показателей товара, позволяющих определить соответствие закупаемого товара установленным заказчиком требованиям, которые должны быть представлены участником закупки, указаны Заказчиком в структурированной форме извещения, а также в составе извещения о закупке в виде отдельного электронного документа «Описание объекта закупки (Техническое задание)».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Согласно описанию объекта закупки для закупаемого товара Заказчиком установлены, в том числе следующие характеристики:</w:t>
      </w:r>
    </w:p>
    <w:p>
      <w:pPr>
        <w:pStyle w:val="Style14"/>
        <w:keepNext w:val="0"/>
        <w:keepLines w:val="0"/>
        <w:widowControl w:val="0"/>
        <w:numPr>
          <w:ilvl w:val="0"/>
          <w:numId w:val="13"/>
        </w:numPr>
        <w:shd w:val="clear" w:color="auto" w:fill="auto"/>
        <w:tabs>
          <w:tab w:pos="946" w:val="left"/>
        </w:tabs>
        <w:bidi w:val="0"/>
        <w:spacing w:before="0" w:after="0" w:line="240" w:lineRule="auto"/>
        <w:ind w:left="0" w:right="0" w:firstLine="720"/>
        <w:jc w:val="both"/>
      </w:pPr>
      <w:r>
        <w:rPr>
          <w:rStyle w:val="CharStyle15"/>
        </w:rPr>
        <w:t xml:space="preserve">«напряжение питающей сети» </w:t>
      </w:r>
      <w:r>
        <w:rPr>
          <w:rStyle w:val="CharStyle15"/>
          <w:lang w:val="en-US" w:eastAsia="en-US"/>
        </w:rPr>
        <w:t xml:space="preserve">- « </w:t>
      </w:r>
      <w:r>
        <w:rPr>
          <w:rStyle w:val="CharStyle15"/>
        </w:rPr>
        <w:t xml:space="preserve">380В </w:t>
      </w:r>
      <w:r>
        <w:rPr>
          <w:rStyle w:val="CharStyle15"/>
          <w:lang w:val="en-US" w:eastAsia="en-US"/>
        </w:rPr>
        <w:t>»;</w:t>
      </w:r>
    </w:p>
    <w:p>
      <w:pPr>
        <w:pStyle w:val="Style14"/>
        <w:keepNext w:val="0"/>
        <w:keepLines w:val="0"/>
        <w:widowControl w:val="0"/>
        <w:numPr>
          <w:ilvl w:val="0"/>
          <w:numId w:val="13"/>
        </w:numPr>
        <w:shd w:val="clear" w:color="auto" w:fill="auto"/>
        <w:tabs>
          <w:tab w:pos="946" w:val="left"/>
        </w:tabs>
        <w:bidi w:val="0"/>
        <w:spacing w:before="0" w:after="0" w:line="240" w:lineRule="auto"/>
        <w:ind w:left="0" w:right="0" w:firstLine="720"/>
        <w:jc w:val="both"/>
      </w:pPr>
      <w:r>
        <w:rPr>
          <w:rStyle w:val="CharStyle15"/>
        </w:rPr>
        <w:t xml:space="preserve">«потребление воды, л/час» </w:t>
      </w:r>
      <w:r>
        <w:rPr>
          <w:rStyle w:val="CharStyle15"/>
          <w:lang w:val="en-US" w:eastAsia="en-US"/>
        </w:rPr>
        <w:t>- « ≤70 ».</w:t>
      </w:r>
    </w:p>
    <w:p>
      <w:pPr>
        <w:pStyle w:val="Style14"/>
        <w:keepNext w:val="0"/>
        <w:keepLines w:val="0"/>
        <w:widowControl w:val="0"/>
        <w:shd w:val="clear" w:color="auto" w:fill="auto"/>
        <w:bidi w:val="0"/>
        <w:spacing w:before="0" w:after="0" w:line="240" w:lineRule="auto"/>
        <w:ind w:left="0" w:right="0" w:firstLine="720"/>
        <w:jc w:val="both"/>
      </w:pPr>
      <w:r>
        <w:rPr>
          <w:rStyle w:val="CharStyle15"/>
          <w:b/>
          <w:bCs/>
          <w:lang w:val="en-US" w:eastAsia="en-US"/>
        </w:rPr>
        <w:t xml:space="preserve">4. </w:t>
      </w:r>
      <w:r>
        <w:rPr>
          <w:rStyle w:val="CharStyle15"/>
        </w:rPr>
        <w:t xml:space="preserve">Согласно подпункту «а» пункта </w:t>
      </w:r>
      <w:r>
        <w:rPr>
          <w:rStyle w:val="CharStyle15"/>
          <w:lang w:val="en-US" w:eastAsia="en-US"/>
        </w:rPr>
        <w:t xml:space="preserve">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заявка участника закупки должна содержать предложение участника закупки в отношении объекта закупки с учетом положений части </w:t>
      </w:r>
      <w:r>
        <w:rPr>
          <w:rStyle w:val="CharStyle15"/>
          <w:lang w:val="en-US" w:eastAsia="en-US"/>
        </w:rPr>
        <w:t xml:space="preserve">2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w:t>
      </w:r>
      <w:r>
        <w:rPr>
          <w:rStyle w:val="CharStyle15"/>
          <w:lang w:val="en-US" w:eastAsia="en-US"/>
        </w:rPr>
        <w:t xml:space="preserve">2 </w:t>
      </w:r>
      <w:r>
        <w:rPr>
          <w:rStyle w:val="CharStyle15"/>
        </w:rPr>
        <w:t xml:space="preserve">статьи </w:t>
      </w:r>
      <w:r>
        <w:rPr>
          <w:rStyle w:val="CharStyle15"/>
          <w:lang w:val="en-US" w:eastAsia="en-US"/>
        </w:rPr>
        <w:t xml:space="preserve">33 </w:t>
      </w:r>
      <w:r>
        <w:rPr>
          <w:rStyle w:val="CharStyle15"/>
        </w:rPr>
        <w:t>настоящего Федерального закона, товарный знак (при наличии у товара товарного знака).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подпунктом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статьи </w:t>
      </w:r>
      <w:r>
        <w:rPr>
          <w:rStyle w:val="CharStyle15"/>
          <w:lang w:val="en-US" w:eastAsia="en-US"/>
        </w:rPr>
        <w:t xml:space="preserve">49 </w:t>
      </w:r>
      <w:r>
        <w:rPr>
          <w:rStyle w:val="CharStyle15"/>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заявки участников закупки подлежат отклонению, в том числе на основании пункта </w:t>
      </w:r>
      <w:r>
        <w:rPr>
          <w:rStyle w:val="CharStyle15"/>
          <w:lang w:val="en-US" w:eastAsia="en-US"/>
        </w:rPr>
        <w:t xml:space="preserve">8 </w:t>
      </w:r>
      <w:r>
        <w:rPr>
          <w:rStyle w:val="CharStyle15"/>
        </w:rPr>
        <w:t>(выявление недостоверной информации, содержащейся в заявке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Комиссией Коми УФАС России установлено, что на участие в закупке подано четыре заявки.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 итогам рассмотрения заявок участников закупки заявка заявителя (идентификационный номер заявки: </w:t>
      </w:r>
      <w:r>
        <w:rPr>
          <w:rStyle w:val="CharStyle15"/>
          <w:lang w:val="en-US" w:eastAsia="en-US"/>
        </w:rPr>
        <w:t xml:space="preserve">121022105) </w:t>
      </w:r>
      <w:r>
        <w:rPr>
          <w:rStyle w:val="CharStyle15"/>
        </w:rPr>
        <w:t xml:space="preserve">комиссией по осуществлению закупок была отклонена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что нашло свое отражение в протоколе подведения итогов определения поставщика (подрядчика, исполнителя) по закупке </w:t>
      </w:r>
      <w:r>
        <w:rPr>
          <w:rStyle w:val="CharStyle15"/>
          <w:lang w:val="en-US" w:eastAsia="en-US"/>
        </w:rPr>
        <w:t xml:space="preserve">0307200030626000608 </w:t>
      </w:r>
      <w:r>
        <w:rPr>
          <w:rStyle w:val="CharStyle15"/>
        </w:rPr>
        <w:t xml:space="preserve">от </w:t>
      </w:r>
      <w:r>
        <w:rPr>
          <w:rStyle w:val="CharStyle15"/>
          <w:lang w:val="en-US" w:eastAsia="en-US"/>
        </w:rPr>
        <w:t>17.04.2026:</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«Выявление недостоверной информации о предлагаемом медицинском изделии: «Наименование медицинского изделия в соответствии с РУ: ФСЗ </w:t>
      </w:r>
      <w:r>
        <w:rPr>
          <w:rStyle w:val="CharStyle15"/>
          <w:lang w:val="en-US" w:eastAsia="en-US"/>
        </w:rPr>
        <w:t xml:space="preserve">2011/09641 </w:t>
      </w:r>
      <w:r>
        <w:rPr>
          <w:rStyle w:val="CharStyle15"/>
        </w:rPr>
        <w:t xml:space="preserve">Установка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 xml:space="preserve">("Ньюстер") с принадлежностями» в заявке участника значение характеристики «напряжение питающей сети» указано </w:t>
      </w:r>
      <w:r>
        <w:rPr>
          <w:rStyle w:val="CharStyle15"/>
          <w:lang w:val="en-US" w:eastAsia="en-US"/>
        </w:rPr>
        <w:t xml:space="preserve">- 380 </w:t>
      </w:r>
      <w:r>
        <w:rPr>
          <w:rStyle w:val="CharStyle15"/>
        </w:rPr>
        <w:t xml:space="preserve">Вольт, «потребление воды л/час» указано </w:t>
      </w:r>
      <w:r>
        <w:rPr>
          <w:rStyle w:val="CharStyle15"/>
          <w:lang w:val="en-US" w:eastAsia="en-US"/>
        </w:rPr>
        <w:t xml:space="preserve">70 </w:t>
      </w:r>
      <w:r>
        <w:rPr>
          <w:rStyle w:val="CharStyle15"/>
        </w:rPr>
        <w:t xml:space="preserve">л; в руководстве пользователя регистрационного удостоверения №ФСЗ </w:t>
      </w:r>
      <w:r>
        <w:rPr>
          <w:rStyle w:val="CharStyle15"/>
          <w:lang w:val="en-US" w:eastAsia="en-US"/>
        </w:rPr>
        <w:t xml:space="preserve">2011/09641 </w:t>
      </w:r>
      <w:r>
        <w:rPr>
          <w:rStyle w:val="CharStyle15"/>
        </w:rPr>
        <w:t xml:space="preserve">от </w:t>
      </w:r>
      <w:r>
        <w:rPr>
          <w:rStyle w:val="CharStyle15"/>
          <w:lang w:val="en-US" w:eastAsia="en-US"/>
        </w:rPr>
        <w:t xml:space="preserve">29 </w:t>
      </w:r>
      <w:r>
        <w:rPr>
          <w:rStyle w:val="CharStyle15"/>
        </w:rPr>
        <w:t xml:space="preserve">июня </w:t>
      </w:r>
      <w:r>
        <w:rPr>
          <w:rStyle w:val="CharStyle15"/>
          <w:lang w:val="en-US" w:eastAsia="en-US"/>
        </w:rPr>
        <w:t xml:space="preserve">2020 </w:t>
      </w:r>
      <w:r>
        <w:rPr>
          <w:rStyle w:val="CharStyle15"/>
        </w:rPr>
        <w:t xml:space="preserve">года на товар ««Установка для утилизации и термического обезвреживания (обеззараживания с измельчением и автоматической упаковкой) медицинских отходов </w:t>
      </w:r>
      <w:r>
        <w:rPr>
          <w:rStyle w:val="CharStyle15"/>
          <w:lang w:val="en-US" w:eastAsia="en-US"/>
        </w:rPr>
        <w:t xml:space="preserve">"Newster"» </w:t>
      </w:r>
      <w:r>
        <w:rPr>
          <w:rStyle w:val="CharStyle15"/>
        </w:rPr>
        <w:t xml:space="preserve">указано напряжение </w:t>
      </w:r>
      <w:r>
        <w:rPr>
          <w:rStyle w:val="CharStyle15"/>
          <w:lang w:val="en-US" w:eastAsia="en-US"/>
        </w:rPr>
        <w:t xml:space="preserve">- «400 </w:t>
      </w:r>
      <w:r>
        <w:rPr>
          <w:rStyle w:val="CharStyle15"/>
        </w:rPr>
        <w:t xml:space="preserve">Вольт» и потребление воды «около </w:t>
      </w:r>
      <w:r>
        <w:rPr>
          <w:rStyle w:val="CharStyle15"/>
          <w:lang w:val="en-US" w:eastAsia="en-US"/>
        </w:rPr>
        <w:t xml:space="preserve">75 </w:t>
      </w:r>
      <w:r>
        <w:rPr>
          <w:rStyle w:val="CharStyle15"/>
        </w:rPr>
        <w:t>л», что подтверждается информацией, опубликованной на официальном сайте Росздравнадзора.</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Участник закупки соответствует требованиям Федерального закона </w:t>
      </w:r>
      <w:r>
        <w:rPr>
          <w:rStyle w:val="CharStyle15"/>
          <w:lang w:val="en-US" w:eastAsia="en-US"/>
        </w:rPr>
        <w:t xml:space="preserve">№ </w:t>
      </w:r>
      <w:r>
        <w:rPr>
          <w:rStyle w:val="CharStyle15"/>
        </w:rPr>
        <w:t>44-ФЗ и извещению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Коми УФАС России по итогам ознакомления с заявкой заявителя на участие в электронном аукционе (идентификационный номер </w:t>
      </w:r>
      <w:r>
        <w:rPr>
          <w:rStyle w:val="CharStyle15"/>
          <w:lang w:val="en-US" w:eastAsia="en-US"/>
        </w:rPr>
        <w:t xml:space="preserve">121022105) </w:t>
      </w:r>
      <w:r>
        <w:rPr>
          <w:rStyle w:val="CharStyle15"/>
        </w:rPr>
        <w:t>установлено следующее.</w:t>
      </w:r>
    </w:p>
    <w:p>
      <w:pPr>
        <w:pStyle w:val="Style14"/>
        <w:keepNext w:val="0"/>
        <w:keepLines w:val="0"/>
        <w:widowControl w:val="0"/>
        <w:shd w:val="clear" w:color="auto" w:fill="auto"/>
        <w:bidi w:val="0"/>
        <w:spacing w:before="0" w:after="0" w:line="240" w:lineRule="auto"/>
        <w:ind w:left="0" w:right="0" w:firstLine="720"/>
        <w:jc w:val="both"/>
        <w:sectPr>
          <w:headerReference w:type="default" r:id="rId12"/>
          <w:footerReference w:type="default" r:id="rId13"/>
          <w:footnotePr>
            <w:pos w:val="pageBottom"/>
            <w:numFmt w:val="decimal"/>
            <w:numRestart w:val="continuous"/>
          </w:footnotePr>
          <w:pgSz w:w="11900" w:h="16840"/>
          <w:pgMar w:top="826" w:right="541" w:bottom="1335" w:left="1106" w:header="0" w:footer="3" w:gutter="0"/>
          <w:cols w:space="720"/>
          <w:noEndnote/>
          <w:rtlGutter w:val="0"/>
          <w:docGrid w:linePitch="360"/>
        </w:sectPr>
      </w:pPr>
      <w:r>
        <w:rPr>
          <w:rStyle w:val="CharStyle15"/>
        </w:rPr>
        <w:t xml:space="preserve">Подателем жалобы в составе структурированной заявки предложен товар </w:t>
      </w:r>
      <w:r>
        <w:rPr>
          <w:rStyle w:val="CharStyle15"/>
          <w:lang w:val="en-US" w:eastAsia="en-US"/>
        </w:rPr>
        <w:t xml:space="preserve">- </w:t>
      </w:r>
      <w:r>
        <w:rPr>
          <w:rStyle w:val="CharStyle15"/>
        </w:rPr>
        <w:t xml:space="preserve">Установка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(«Ньюстер») с</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принадлежностями (регистрационное удостоверение на медицинское изделие </w:t>
      </w:r>
      <w:r>
        <w:rPr>
          <w:rStyle w:val="CharStyle15"/>
          <w:lang w:val="en-US" w:eastAsia="en-US"/>
        </w:rPr>
        <w:t xml:space="preserve">№ </w:t>
      </w:r>
      <w:r>
        <w:rPr>
          <w:rStyle w:val="CharStyle15"/>
        </w:rPr>
        <w:t xml:space="preserve">ФСЗ </w:t>
      </w:r>
      <w:r>
        <w:rPr>
          <w:rStyle w:val="CharStyle15"/>
          <w:lang w:val="en-US" w:eastAsia="en-US"/>
        </w:rPr>
        <w:t xml:space="preserve">2011/09641 </w:t>
      </w:r>
      <w:r>
        <w:rPr>
          <w:rStyle w:val="CharStyle15"/>
        </w:rPr>
        <w:t xml:space="preserve">от </w:t>
      </w:r>
      <w:r>
        <w:rPr>
          <w:rStyle w:val="CharStyle15"/>
          <w:lang w:val="en-US" w:eastAsia="en-US"/>
        </w:rPr>
        <w:t xml:space="preserve">29.06.2020; </w:t>
      </w:r>
      <w:r>
        <w:rPr>
          <w:rStyle w:val="CharStyle15"/>
        </w:rPr>
        <w:t xml:space="preserve">варианты исполнения </w:t>
      </w:r>
      <w:r>
        <w:rPr>
          <w:rStyle w:val="CharStyle15"/>
          <w:lang w:val="en-US" w:eastAsia="en-US"/>
        </w:rPr>
        <w:t xml:space="preserve">«Newster 10», Newster 5» </w:t>
      </w:r>
      <w:r>
        <w:rPr>
          <w:rStyle w:val="CharStyle15"/>
        </w:rPr>
        <w:t xml:space="preserve">(«Ньюстер </w:t>
      </w:r>
      <w:r>
        <w:rPr>
          <w:rStyle w:val="CharStyle15"/>
          <w:lang w:val="en-US" w:eastAsia="en-US"/>
        </w:rPr>
        <w:t xml:space="preserve">10», </w:t>
      </w:r>
      <w:r>
        <w:rPr>
          <w:rStyle w:val="CharStyle15"/>
        </w:rPr>
        <w:t xml:space="preserve">«Ньюстер </w:t>
      </w:r>
      <w:r>
        <w:rPr>
          <w:rStyle w:val="CharStyle15"/>
          <w:lang w:val="en-US" w:eastAsia="en-US"/>
        </w:rPr>
        <w:t xml:space="preserve">5»); </w:t>
      </w:r>
      <w:r>
        <w:rPr>
          <w:rStyle w:val="CharStyle15"/>
        </w:rPr>
        <w:t>производитель: «НЬЮСТЕР СИСТЕМ» С.р.л. Италия).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4 </w:t>
      </w:r>
      <w:r>
        <w:rPr>
          <w:rStyle w:val="CharStyle15"/>
        </w:rPr>
        <w:t xml:space="preserve">статьи </w:t>
      </w:r>
      <w:r>
        <w:rPr>
          <w:rStyle w:val="CharStyle15"/>
          <w:lang w:val="en-US" w:eastAsia="en-US"/>
        </w:rPr>
        <w:t xml:space="preserve">38 </w:t>
      </w:r>
      <w:r>
        <w:rPr>
          <w:rStyle w:val="CharStyle15"/>
        </w:rPr>
        <w:t xml:space="preserve">Федерального закона от </w:t>
      </w:r>
      <w:r>
        <w:rPr>
          <w:rStyle w:val="CharStyle15"/>
          <w:lang w:val="en-US" w:eastAsia="en-US"/>
        </w:rPr>
        <w:t xml:space="preserve">21.11.2011 № </w:t>
      </w:r>
      <w:r>
        <w:rPr>
          <w:rStyle w:val="CharStyle15"/>
        </w:rPr>
        <w:t xml:space="preserve">323-ФЗ «Об основах охраны здоровья граждан в Российской Федерации» (далее </w:t>
      </w:r>
      <w:r>
        <w:rPr>
          <w:rStyle w:val="CharStyle15"/>
          <w:lang w:val="en-US" w:eastAsia="en-US"/>
        </w:rPr>
        <w:t xml:space="preserve">– </w:t>
      </w:r>
      <w:r>
        <w:rPr>
          <w:rStyle w:val="CharStyle15"/>
        </w:rPr>
        <w:t xml:space="preserve">Федеральный закон </w:t>
      </w:r>
      <w:r>
        <w:rPr>
          <w:rStyle w:val="CharStyle15"/>
          <w:lang w:val="en-US" w:eastAsia="en-US"/>
        </w:rPr>
        <w:t xml:space="preserve">№ </w:t>
      </w:r>
      <w:r>
        <w:rPr>
          <w:rStyle w:val="CharStyle15"/>
        </w:rPr>
        <w:t>323-ФЗ)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Порядок государственной регистрации медицинских изделий, подлежащих обращению на территории Российской Федерации, установлен Правилами государственной регистрации медицинских изделий, утвержденными Постановлением Правительства РФ от </w:t>
      </w:r>
      <w:r>
        <w:rPr>
          <w:rStyle w:val="CharStyle15"/>
          <w:lang w:val="en-US" w:eastAsia="en-US"/>
        </w:rPr>
        <w:t xml:space="preserve">30.11.2024 № 1684 </w:t>
      </w:r>
      <w:r>
        <w:rPr>
          <w:rStyle w:val="CharStyle15"/>
        </w:rPr>
        <w:t xml:space="preserve">«Об утверждении Правил государственной регистрации медицинских изделий» (далее </w:t>
      </w:r>
      <w:r>
        <w:rPr>
          <w:rStyle w:val="CharStyle15"/>
          <w:lang w:val="en-US" w:eastAsia="en-US"/>
        </w:rPr>
        <w:t xml:space="preserve">- </w:t>
      </w:r>
      <w:r>
        <w:rPr>
          <w:rStyle w:val="CharStyle15"/>
        </w:rPr>
        <w:t xml:space="preserve">Правила </w:t>
      </w:r>
      <w:r>
        <w:rPr>
          <w:rStyle w:val="CharStyle15"/>
          <w:lang w:val="en-US" w:eastAsia="en-US"/>
        </w:rPr>
        <w:t>№ 1684).</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25 </w:t>
      </w:r>
      <w:r>
        <w:rPr>
          <w:rStyle w:val="CharStyle15"/>
        </w:rPr>
        <w:t xml:space="preserve">Правил </w:t>
      </w:r>
      <w:r>
        <w:rPr>
          <w:rStyle w:val="CharStyle15"/>
          <w:lang w:val="en-US" w:eastAsia="en-US"/>
        </w:rPr>
        <w:t xml:space="preserve">№ 1684 </w:t>
      </w:r>
      <w:r>
        <w:rPr>
          <w:rStyle w:val="CharStyle15"/>
        </w:rPr>
        <w:t xml:space="preserve">установлено, что факт государственной регистрации медицинского изделия в соответствии с настоящими Правилами подтверждается реестровой записью, вносимой регистрирующим органом в государственный реестр (далее </w:t>
      </w:r>
      <w:r>
        <w:rPr>
          <w:rStyle w:val="CharStyle15"/>
          <w:lang w:val="en-US" w:eastAsia="en-US"/>
        </w:rPr>
        <w:t xml:space="preserve">- </w:t>
      </w:r>
      <w:r>
        <w:rPr>
          <w:rStyle w:val="CharStyle15"/>
        </w:rPr>
        <w:t>реестровая запись).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пп. «г» п. </w:t>
      </w:r>
      <w:r>
        <w:rPr>
          <w:rStyle w:val="CharStyle15"/>
          <w:lang w:val="en-US" w:eastAsia="en-US"/>
        </w:rPr>
        <w:t xml:space="preserve">65 </w:t>
      </w:r>
      <w:r>
        <w:rPr>
          <w:rStyle w:val="CharStyle15"/>
        </w:rPr>
        <w:t xml:space="preserve">Правил </w:t>
      </w:r>
      <w:r>
        <w:rPr>
          <w:rStyle w:val="CharStyle15"/>
          <w:lang w:val="en-US" w:eastAsia="en-US"/>
        </w:rPr>
        <w:t xml:space="preserve">№ 1684 </w:t>
      </w:r>
      <w:r>
        <w:rPr>
          <w:rStyle w:val="CharStyle15"/>
        </w:rPr>
        <w:t>для государственной регистрации медицинского изделия заявителем представляется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Как следует из п. </w:t>
      </w:r>
      <w:r>
        <w:rPr>
          <w:rStyle w:val="CharStyle15"/>
          <w:lang w:val="en-US" w:eastAsia="en-US"/>
        </w:rPr>
        <w:t xml:space="preserve">52 </w:t>
      </w:r>
      <w:r>
        <w:rPr>
          <w:rStyle w:val="CharStyle15"/>
        </w:rPr>
        <w:t xml:space="preserve">Правил </w:t>
      </w:r>
      <w:r>
        <w:rPr>
          <w:rStyle w:val="CharStyle15"/>
          <w:lang w:val="en-US" w:eastAsia="en-US"/>
        </w:rPr>
        <w:t xml:space="preserve">№ 1684 </w:t>
      </w:r>
      <w:r>
        <w:rPr>
          <w:rStyle w:val="CharStyle15"/>
        </w:rPr>
        <w:t xml:space="preserve">регистрирующий орган формирует регистрационное досье, которое включает в себя документы, предусмотренные пунктом </w:t>
      </w:r>
      <w:r>
        <w:rPr>
          <w:rStyle w:val="CharStyle15"/>
          <w:lang w:val="en-US" w:eastAsia="en-US"/>
        </w:rPr>
        <w:t xml:space="preserve">65 </w:t>
      </w:r>
      <w:r>
        <w:rPr>
          <w:rStyle w:val="CharStyle15"/>
        </w:rPr>
        <w:t xml:space="preserve">Правил </w:t>
      </w:r>
      <w:r>
        <w:rPr>
          <w:rStyle w:val="CharStyle15"/>
          <w:lang w:val="en-US" w:eastAsia="en-US"/>
        </w:rPr>
        <w:t>№ 1684.</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эксплуатационная документация производителя, в том числе, руководство по эксплуатации входит в состав регистрационного досье и представляется в числе обязательных документов при регистрации медицинского изделия.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Коми УФАС России, проанализировав информацию, размещенную на сайте Росздравнадзора, установила, что в реестровой записи </w:t>
      </w:r>
      <w:r>
        <w:rPr>
          <w:rStyle w:val="CharStyle15"/>
          <w:lang w:val="en-US" w:eastAsia="en-US"/>
        </w:rPr>
        <w:t xml:space="preserve">№ 168527 </w:t>
      </w:r>
      <w:r>
        <w:rPr>
          <w:rStyle w:val="CharStyle15"/>
        </w:rPr>
        <w:t xml:space="preserve">регистрационного удостоверения </w:t>
      </w:r>
      <w:r>
        <w:rPr>
          <w:rStyle w:val="CharStyle15"/>
          <w:lang w:val="en-US" w:eastAsia="en-US"/>
        </w:rPr>
        <w:t xml:space="preserve">№ </w:t>
      </w:r>
      <w:r>
        <w:rPr>
          <w:rStyle w:val="CharStyle15"/>
        </w:rPr>
        <w:t xml:space="preserve">ФСЗ </w:t>
      </w:r>
      <w:r>
        <w:rPr>
          <w:rStyle w:val="CharStyle15"/>
          <w:lang w:val="en-US" w:eastAsia="en-US"/>
        </w:rPr>
        <w:t xml:space="preserve">2011/09641 </w:t>
      </w:r>
      <w:r>
        <w:rPr>
          <w:rStyle w:val="CharStyle15"/>
        </w:rPr>
        <w:t xml:space="preserve">от </w:t>
      </w:r>
      <w:r>
        <w:rPr>
          <w:rStyle w:val="CharStyle15"/>
          <w:lang w:val="en-US" w:eastAsia="en-US"/>
        </w:rPr>
        <w:t xml:space="preserve">07.03.2023 </w:t>
      </w:r>
      <w:r>
        <w:rPr>
          <w:rStyle w:val="CharStyle15"/>
        </w:rPr>
        <w:t xml:space="preserve">на медицинское изделие «Установка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 xml:space="preserve">(«Ньюстер») с принадлежностями содержится Руководство пользователя (документ </w:t>
      </w:r>
      <w:r>
        <w:rPr>
          <w:rStyle w:val="CharStyle15"/>
          <w:lang w:val="en-US" w:eastAsia="en-US"/>
        </w:rPr>
        <w:t xml:space="preserve">dc113029_I.pd ) </w:t>
      </w:r>
      <w:r>
        <w:rPr>
          <w:rStyle w:val="CharStyle15"/>
        </w:rPr>
        <w:t xml:space="preserve">«Установка для утилизации и термического обезвреживания (обеззараживания с измельчением и автоматической упаковкой) медицинских отходов </w:t>
      </w:r>
      <w:r>
        <w:rPr>
          <w:rStyle w:val="CharStyle15"/>
          <w:lang w:val="en-US" w:eastAsia="en-US"/>
        </w:rPr>
        <w:t xml:space="preserve">«Newster 5» </w:t>
      </w:r>
      <w:r>
        <w:rPr>
          <w:rStyle w:val="CharStyle15"/>
        </w:rPr>
        <w:t xml:space="preserve">(«Ньюстер </w:t>
      </w:r>
      <w:r>
        <w:rPr>
          <w:rStyle w:val="CharStyle15"/>
          <w:lang w:val="en-US" w:eastAsia="en-US"/>
        </w:rPr>
        <w:t xml:space="preserve">5»), «Newster 10» </w:t>
      </w:r>
      <w:r>
        <w:rPr>
          <w:rStyle w:val="CharStyle15"/>
        </w:rPr>
        <w:t xml:space="preserve">(«Ньюстер </w:t>
      </w:r>
      <w:r>
        <w:rPr>
          <w:rStyle w:val="CharStyle15"/>
          <w:lang w:val="en-US" w:eastAsia="en-US"/>
        </w:rPr>
        <w:t xml:space="preserve">10») </w:t>
      </w:r>
      <w:r>
        <w:rPr>
          <w:rStyle w:val="CharStyle15"/>
        </w:rPr>
        <w:t>с принадлежностями».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1.3 </w:t>
      </w:r>
      <w:r>
        <w:rPr>
          <w:rStyle w:val="CharStyle15"/>
        </w:rPr>
        <w:t xml:space="preserve">Руководства пользователя по модели </w:t>
      </w:r>
      <w:r>
        <w:rPr>
          <w:rStyle w:val="CharStyle15"/>
          <w:lang w:val="en-US" w:eastAsia="en-US"/>
        </w:rPr>
        <w:t xml:space="preserve">«Newster 5» </w:t>
      </w:r>
      <w:r>
        <w:rPr>
          <w:rStyle w:val="CharStyle15"/>
        </w:rPr>
        <w:t xml:space="preserve">(«Ньюстер </w:t>
      </w:r>
      <w:r>
        <w:rPr>
          <w:rStyle w:val="CharStyle15"/>
          <w:lang w:val="en-US" w:eastAsia="en-US"/>
        </w:rPr>
        <w:t xml:space="preserve">5»), </w:t>
      </w:r>
      <w:r>
        <w:rPr>
          <w:rStyle w:val="CharStyle15"/>
        </w:rPr>
        <w:t>в том числе указано: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«напряжение электротока </w:t>
      </w:r>
      <w:r>
        <w:rPr>
          <w:rStyle w:val="CharStyle15"/>
          <w:lang w:val="en-US" w:eastAsia="en-US"/>
        </w:rPr>
        <w:t xml:space="preserve">- 400 </w:t>
      </w:r>
      <w:r>
        <w:rPr>
          <w:rStyle w:val="CharStyle15"/>
        </w:rPr>
        <w:t>вольт», при этом в отношении характеристики «потребление воды, л/час» информация отсутствует.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пунктам </w:t>
      </w:r>
      <w:r>
        <w:rPr>
          <w:rStyle w:val="CharStyle15"/>
          <w:lang w:val="en-US" w:eastAsia="en-US"/>
        </w:rPr>
        <w:t xml:space="preserve">1.3, 1.5 </w:t>
      </w:r>
      <w:r>
        <w:rPr>
          <w:rStyle w:val="CharStyle15"/>
        </w:rPr>
        <w:t xml:space="preserve">Руководства пользователя по модели </w:t>
      </w:r>
      <w:r>
        <w:rPr>
          <w:rStyle w:val="CharStyle15"/>
          <w:lang w:val="en-US" w:eastAsia="en-US"/>
        </w:rPr>
        <w:t xml:space="preserve">«Newster 10» </w:t>
      </w:r>
      <w:r>
        <w:rPr>
          <w:rStyle w:val="CharStyle15"/>
        </w:rPr>
        <w:t xml:space="preserve">(«Ньюстер </w:t>
      </w:r>
      <w:r>
        <w:rPr>
          <w:rStyle w:val="CharStyle15"/>
          <w:lang w:val="en-US" w:eastAsia="en-US"/>
        </w:rPr>
        <w:t xml:space="preserve">10»), </w:t>
      </w:r>
      <w:r>
        <w:rPr>
          <w:rStyle w:val="CharStyle15"/>
        </w:rPr>
        <w:t>в том числе указано: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«напряжение электротока </w:t>
      </w:r>
      <w:r>
        <w:rPr>
          <w:rStyle w:val="CharStyle15"/>
          <w:lang w:val="en-US" w:eastAsia="en-US"/>
        </w:rPr>
        <w:t xml:space="preserve">- 400 </w:t>
      </w:r>
      <w:r>
        <w:rPr>
          <w:rStyle w:val="CharStyle15"/>
        </w:rPr>
        <w:t>вольт»,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«потребление воды </w:t>
      </w:r>
      <w:r>
        <w:rPr>
          <w:rStyle w:val="CharStyle15"/>
          <w:lang w:val="en-US" w:eastAsia="en-US"/>
        </w:rPr>
        <w:t xml:space="preserve">- </w:t>
      </w:r>
      <w:r>
        <w:rPr>
          <w:rStyle w:val="CharStyle15"/>
        </w:rPr>
        <w:t xml:space="preserve">соединение </w:t>
      </w:r>
      <w:r>
        <w:rPr>
          <w:rStyle w:val="CharStyle15"/>
          <w:lang w:val="en-US" w:eastAsia="en-US"/>
        </w:rPr>
        <w:t xml:space="preserve">½ </w:t>
      </w:r>
      <w:r>
        <w:rPr>
          <w:rStyle w:val="CharStyle15"/>
        </w:rPr>
        <w:t xml:space="preserve">дюйма, около </w:t>
      </w:r>
      <w:r>
        <w:rPr>
          <w:rStyle w:val="CharStyle15"/>
          <w:lang w:val="en-US" w:eastAsia="en-US"/>
        </w:rPr>
        <w:t xml:space="preserve">75 </w:t>
      </w:r>
      <w:r>
        <w:rPr>
          <w:rStyle w:val="CharStyle15"/>
        </w:rPr>
        <w:t>литров в час».</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 этом следует отметить, что участником закупки с идентификационным номером заявки </w:t>
      </w:r>
      <w:r>
        <w:rPr>
          <w:rStyle w:val="CharStyle15"/>
          <w:lang w:val="en-US" w:eastAsia="en-US"/>
        </w:rPr>
        <w:t xml:space="preserve">121022105 </w:t>
      </w:r>
      <w:r>
        <w:rPr>
          <w:rStyle w:val="CharStyle15"/>
        </w:rPr>
        <w:t xml:space="preserve">не указано какую именно модель установки для утилизации и термического обезвреживания (с измельчением и автоматической упаковкой) медицинских отходов </w:t>
      </w:r>
      <w:r>
        <w:rPr>
          <w:rStyle w:val="CharStyle15"/>
          <w:lang w:val="en-US" w:eastAsia="en-US"/>
        </w:rPr>
        <w:t xml:space="preserve">«Newster» </w:t>
      </w:r>
      <w:r>
        <w:rPr>
          <w:rStyle w:val="CharStyle15"/>
        </w:rPr>
        <w:t>(«Ньюстер») он предлагает к поставке.</w:t>
      </w:r>
    </w:p>
    <w:p>
      <w:pPr>
        <w:pStyle w:val="Style14"/>
        <w:keepNext w:val="0"/>
        <w:keepLines w:val="0"/>
        <w:widowControl w:val="0"/>
        <w:shd w:val="clear" w:color="auto" w:fill="auto"/>
        <w:bidi w:val="0"/>
        <w:spacing w:before="0" w:after="0" w:line="401" w:lineRule="auto"/>
        <w:ind w:left="0" w:right="0" w:firstLine="720"/>
        <w:jc w:val="both"/>
        <w:rPr>
          <w:sz w:val="24"/>
          <w:szCs w:val="24"/>
        </w:rPr>
      </w:pPr>
      <w:r>
        <w:rPr>
          <w:rStyle w:val="CharStyle15"/>
        </w:rPr>
        <w:t xml:space="preserve">В составе своей заявки таким участником, по оспариваемым характеристикам, </w:t>
      </w:r>
      <w:r>
        <w:rPr>
          <w:rStyle w:val="CharStyle15"/>
          <w:sz w:val="24"/>
          <w:szCs w:val="24"/>
          <w:lang w:val="en-US" w:eastAsia="en-US"/>
        </w:rPr>
        <w:t>2026-3141</w:t>
      </w:r>
    </w:p>
    <w:p>
      <w:pPr>
        <w:pStyle w:val="Style14"/>
        <w:keepNext w:val="0"/>
        <w:keepLines w:val="0"/>
        <w:widowControl w:val="0"/>
        <w:shd w:val="clear" w:color="auto" w:fill="auto"/>
        <w:bidi w:val="0"/>
        <w:spacing w:before="0" w:after="0" w:line="240" w:lineRule="auto"/>
        <w:ind w:left="0" w:right="0" w:firstLine="0"/>
        <w:jc w:val="both"/>
      </w:pPr>
      <w:r>
        <w:rPr>
          <w:rStyle w:val="CharStyle15"/>
        </w:rPr>
        <w:t>указано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«напряжение питающей сети </w:t>
      </w:r>
      <w:r>
        <w:rPr>
          <w:rStyle w:val="CharStyle15"/>
          <w:lang w:val="en-US" w:eastAsia="en-US"/>
        </w:rPr>
        <w:t xml:space="preserve">- 380,00 </w:t>
      </w:r>
      <w:r>
        <w:rPr>
          <w:rStyle w:val="CharStyle15"/>
        </w:rPr>
        <w:t>Вольт»,</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«потребление воды, л/час </w:t>
      </w:r>
      <w:r>
        <w:rPr>
          <w:rStyle w:val="CharStyle15"/>
          <w:lang w:val="en-US" w:eastAsia="en-US"/>
        </w:rPr>
        <w:t>- 70,00».</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В составе заявки приложено письмо официального </w:t>
      </w:r>
      <w:r>
        <w:rPr>
          <w:rStyle w:val="CharStyle15"/>
          <w:lang w:val="en-US" w:eastAsia="en-US"/>
        </w:rPr>
        <w:t xml:space="preserve">— </w:t>
      </w:r>
      <w:r>
        <w:rPr>
          <w:rStyle w:val="CharStyle15"/>
        </w:rPr>
        <w:t xml:space="preserve">эксклюзивного сервисного центра на территории РФ по техническому обслуживанию и ремонту оборудования компании </w:t>
      </w:r>
      <w:r>
        <w:rPr>
          <w:rStyle w:val="CharStyle15"/>
          <w:lang w:val="en-US" w:eastAsia="en-US"/>
        </w:rPr>
        <w:t xml:space="preserve">«Newster System SRL” </w:t>
      </w:r>
      <w:r>
        <w:rPr>
          <w:rStyle w:val="CharStyle15"/>
        </w:rPr>
        <w:t xml:space="preserve">ООО «МЕДИ-УЭЙСТ», адресованное ООО «МТФ «Шкипер», от </w:t>
      </w:r>
      <w:r>
        <w:rPr>
          <w:rStyle w:val="CharStyle15"/>
          <w:lang w:val="en-US" w:eastAsia="en-US"/>
        </w:rPr>
        <w:t xml:space="preserve">13.04.2026 № 25/2026 </w:t>
      </w:r>
      <w:r>
        <w:rPr>
          <w:rStyle w:val="CharStyle15"/>
        </w:rPr>
        <w:t xml:space="preserve">из содержания которого следует, что при максимальной продолжительности рабочего цикла в </w:t>
      </w:r>
      <w:r>
        <w:rPr>
          <w:rStyle w:val="CharStyle15"/>
          <w:lang w:val="en-US" w:eastAsia="en-US"/>
        </w:rPr>
        <w:t xml:space="preserve">30 </w:t>
      </w:r>
      <w:r>
        <w:rPr>
          <w:rStyle w:val="CharStyle15"/>
        </w:rPr>
        <w:t xml:space="preserve">минут, потребление воды у установки для утилизации и термического обезвреживания медицинских отходов </w:t>
      </w:r>
      <w:r>
        <w:rPr>
          <w:rStyle w:val="CharStyle15"/>
          <w:lang w:val="en-US" w:eastAsia="en-US"/>
        </w:rPr>
        <w:t xml:space="preserve">«Newster 10» </w:t>
      </w:r>
      <w:r>
        <w:rPr>
          <w:rStyle w:val="CharStyle15"/>
        </w:rPr>
        <w:t xml:space="preserve">(«Ньюстер </w:t>
      </w:r>
      <w:r>
        <w:rPr>
          <w:rStyle w:val="CharStyle15"/>
          <w:lang w:val="en-US" w:eastAsia="en-US"/>
        </w:rPr>
        <w:t xml:space="preserve">10») </w:t>
      </w:r>
      <w:r>
        <w:rPr>
          <w:rStyle w:val="CharStyle15"/>
        </w:rPr>
        <w:t xml:space="preserve">составит менее </w:t>
      </w:r>
      <w:r>
        <w:rPr>
          <w:rStyle w:val="CharStyle15"/>
          <w:lang w:val="en-US" w:eastAsia="en-US"/>
        </w:rPr>
        <w:t xml:space="preserve">70 </w:t>
      </w:r>
      <w:r>
        <w:rPr>
          <w:rStyle w:val="CharStyle15"/>
        </w:rPr>
        <w:t>литров в час.</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Исходя из пояснений ГКУ РК «ЦООиПТ» следует, что извещение устанавливало жёсткое требование: расход воды </w:t>
      </w:r>
      <w:r>
        <w:rPr>
          <w:rStyle w:val="CharStyle15"/>
          <w:lang w:val="en-US" w:eastAsia="en-US"/>
        </w:rPr>
        <w:t xml:space="preserve">— </w:t>
      </w:r>
      <w:r>
        <w:rPr>
          <w:rStyle w:val="CharStyle15"/>
        </w:rPr>
        <w:t xml:space="preserve">ниже или равен </w:t>
      </w:r>
      <w:r>
        <w:rPr>
          <w:rStyle w:val="CharStyle15"/>
          <w:lang w:val="en-US" w:eastAsia="en-US"/>
        </w:rPr>
        <w:t xml:space="preserve">70 </w:t>
      </w:r>
      <w:r>
        <w:rPr>
          <w:rStyle w:val="CharStyle15"/>
        </w:rPr>
        <w:t xml:space="preserve">л/ч. Заявитель указал </w:t>
      </w:r>
      <w:r>
        <w:rPr>
          <w:rStyle w:val="CharStyle15"/>
          <w:lang w:val="en-US" w:eastAsia="en-US"/>
        </w:rPr>
        <w:t xml:space="preserve">70 </w:t>
      </w:r>
      <w:r>
        <w:rPr>
          <w:rStyle w:val="CharStyle15"/>
        </w:rPr>
        <w:t xml:space="preserve">л/ч, что не соответствует информации, размещенной в технической документации на официальном сайте Росздравнадзора. Формула «около </w:t>
      </w:r>
      <w:r>
        <w:rPr>
          <w:rStyle w:val="CharStyle15"/>
          <w:lang w:val="en-US" w:eastAsia="en-US"/>
        </w:rPr>
        <w:t xml:space="preserve">75 </w:t>
      </w:r>
      <w:r>
        <w:rPr>
          <w:rStyle w:val="CharStyle15"/>
        </w:rPr>
        <w:t xml:space="preserve">л» в РУ и инструкции производителя подтверждает, что фактический расход может превышать заявленные </w:t>
      </w:r>
      <w:r>
        <w:rPr>
          <w:rStyle w:val="CharStyle15"/>
          <w:lang w:val="en-US" w:eastAsia="en-US"/>
        </w:rPr>
        <w:t xml:space="preserve">70 </w:t>
      </w:r>
      <w:r>
        <w:rPr>
          <w:rStyle w:val="CharStyle15"/>
        </w:rPr>
        <w:t>л/ч. Письмо дистрибьютора, при этом адресованное не заявителю и на которое он ссылается в жалобе, не является доказательством соответствия, так как:</w:t>
      </w:r>
    </w:p>
    <w:p>
      <w:pPr>
        <w:pStyle w:val="Style14"/>
        <w:keepNext w:val="0"/>
        <w:keepLines w:val="0"/>
        <w:widowControl w:val="0"/>
        <w:numPr>
          <w:ilvl w:val="0"/>
          <w:numId w:val="15"/>
        </w:numPr>
        <w:shd w:val="clear" w:color="auto" w:fill="auto"/>
        <w:tabs>
          <w:tab w:pos="999" w:val="left"/>
        </w:tabs>
        <w:bidi w:val="0"/>
        <w:spacing w:before="0" w:after="0" w:line="240" w:lineRule="auto"/>
        <w:ind w:left="0" w:right="0" w:firstLine="740"/>
        <w:jc w:val="both"/>
      </w:pPr>
      <w:r>
        <w:rPr>
          <w:rStyle w:val="CharStyle15"/>
        </w:rPr>
        <w:t>содержит оценочные суждения;</w:t>
      </w:r>
    </w:p>
    <w:p>
      <w:pPr>
        <w:pStyle w:val="Style14"/>
        <w:keepNext w:val="0"/>
        <w:keepLines w:val="0"/>
        <w:widowControl w:val="0"/>
        <w:numPr>
          <w:ilvl w:val="0"/>
          <w:numId w:val="15"/>
        </w:numPr>
        <w:shd w:val="clear" w:color="auto" w:fill="auto"/>
        <w:tabs>
          <w:tab w:pos="999" w:val="left"/>
        </w:tabs>
        <w:bidi w:val="0"/>
        <w:spacing w:before="0" w:after="0" w:line="240" w:lineRule="auto"/>
        <w:ind w:left="0" w:right="0" w:firstLine="740"/>
        <w:jc w:val="both"/>
      </w:pPr>
      <w:r>
        <w:rPr>
          <w:rStyle w:val="CharStyle15"/>
        </w:rPr>
        <w:t>не подкреплено протоколами испытаний или расчетами;</w:t>
      </w:r>
    </w:p>
    <w:p>
      <w:pPr>
        <w:pStyle w:val="Style14"/>
        <w:keepNext w:val="0"/>
        <w:keepLines w:val="0"/>
        <w:widowControl w:val="0"/>
        <w:numPr>
          <w:ilvl w:val="0"/>
          <w:numId w:val="15"/>
        </w:numPr>
        <w:shd w:val="clear" w:color="auto" w:fill="auto"/>
        <w:tabs>
          <w:tab w:pos="999" w:val="left"/>
        </w:tabs>
        <w:bidi w:val="0"/>
        <w:spacing w:before="0" w:after="0" w:line="240" w:lineRule="auto"/>
        <w:ind w:left="0" w:right="0" w:firstLine="740"/>
        <w:jc w:val="both"/>
      </w:pPr>
      <w:r>
        <w:rPr>
          <w:rStyle w:val="CharStyle15"/>
        </w:rPr>
        <w:t>противоречит прямому указанию в РУ.</w:t>
      </w:r>
    </w:p>
    <w:p>
      <w:pPr>
        <w:pStyle w:val="Style14"/>
        <w:keepNext w:val="0"/>
        <w:keepLines w:val="0"/>
        <w:widowControl w:val="0"/>
        <w:shd w:val="clear" w:color="auto" w:fill="auto"/>
        <w:bidi w:val="0"/>
        <w:spacing w:before="0" w:after="0" w:line="240" w:lineRule="auto"/>
        <w:ind w:left="0" w:right="0" w:firstLine="740"/>
        <w:jc w:val="both"/>
      </w:pPr>
      <w:r>
        <w:rPr>
          <w:rStyle w:val="CharStyle15"/>
        </w:rPr>
        <w:t xml:space="preserve">Относительно несоответствия значения показателя характеристики «напряжение питающей сети» пояснено, что в описании объекта закупки Заказчиком указано неизменяемое значение характеристики </w:t>
      </w:r>
      <w:r>
        <w:rPr>
          <w:rStyle w:val="CharStyle15"/>
          <w:lang w:val="en-US" w:eastAsia="en-US"/>
        </w:rPr>
        <w:t xml:space="preserve">«380 </w:t>
      </w:r>
      <w:r>
        <w:rPr>
          <w:rStyle w:val="CharStyle15"/>
        </w:rPr>
        <w:t xml:space="preserve">В», заявителем в заявке в отношении данной характеристики указано «напряжение питающей сети </w:t>
      </w:r>
      <w:r>
        <w:rPr>
          <w:rStyle w:val="CharStyle15"/>
          <w:lang w:val="en-US" w:eastAsia="en-US"/>
        </w:rPr>
        <w:t xml:space="preserve">— 380 </w:t>
      </w:r>
      <w:r>
        <w:rPr>
          <w:rStyle w:val="CharStyle15"/>
        </w:rPr>
        <w:t xml:space="preserve">В», при этом в технической документации регистрационного удостоверения производителя «НЬЮСТЕР СИСТЕМ» указано </w:t>
      </w:r>
      <w:r>
        <w:rPr>
          <w:rStyle w:val="CharStyle15"/>
          <w:lang w:val="en-US" w:eastAsia="en-US"/>
        </w:rPr>
        <w:t xml:space="preserve">400 </w:t>
      </w:r>
      <w:r>
        <w:rPr>
          <w:rStyle w:val="CharStyle15"/>
        </w:rPr>
        <w:t>В.</w:t>
      </w:r>
    </w:p>
    <w:p>
      <w:pPr>
        <w:pStyle w:val="Style14"/>
        <w:keepNext w:val="0"/>
        <w:keepLines w:val="0"/>
        <w:widowControl w:val="0"/>
        <w:shd w:val="clear" w:color="auto" w:fill="auto"/>
        <w:bidi w:val="0"/>
        <w:spacing w:before="0" w:after="0" w:line="240" w:lineRule="auto"/>
        <w:ind w:left="0" w:right="0" w:firstLine="740"/>
        <w:jc w:val="both"/>
      </w:pPr>
      <w:r>
        <w:rPr>
          <w:rStyle w:val="CharStyle15"/>
        </w:rPr>
        <w:t>По мнению ГКУ РК «ЦООиПТ» аргумент заявителя о взаимозаменяемости значений «380/400В» несостоятелен, так как:</w:t>
      </w:r>
    </w:p>
    <w:p>
      <w:pPr>
        <w:pStyle w:val="Style14"/>
        <w:keepNext w:val="0"/>
        <w:keepLines w:val="0"/>
        <w:widowControl w:val="0"/>
        <w:numPr>
          <w:ilvl w:val="0"/>
          <w:numId w:val="15"/>
        </w:numPr>
        <w:shd w:val="clear" w:color="auto" w:fill="auto"/>
        <w:tabs>
          <w:tab w:pos="979" w:val="left"/>
        </w:tabs>
        <w:bidi w:val="0"/>
        <w:spacing w:before="0" w:after="0" w:line="240" w:lineRule="auto"/>
        <w:ind w:left="0" w:right="0" w:firstLine="720"/>
        <w:jc w:val="left"/>
      </w:pPr>
      <w:r>
        <w:rPr>
          <w:rStyle w:val="CharStyle15"/>
        </w:rPr>
        <w:t>в описании объекта закупки и заявке участника указано конкретное значение;</w:t>
      </w:r>
    </w:p>
    <w:p>
      <w:pPr>
        <w:pStyle w:val="Style14"/>
        <w:keepNext w:val="0"/>
        <w:keepLines w:val="0"/>
        <w:widowControl w:val="0"/>
        <w:numPr>
          <w:ilvl w:val="0"/>
          <w:numId w:val="15"/>
        </w:numPr>
        <w:shd w:val="clear" w:color="auto" w:fill="auto"/>
        <w:tabs>
          <w:tab w:pos="1032" w:val="left"/>
        </w:tabs>
        <w:bidi w:val="0"/>
        <w:spacing w:before="0" w:after="0" w:line="240" w:lineRule="auto"/>
        <w:ind w:left="0" w:right="0" w:firstLine="740"/>
        <w:jc w:val="both"/>
      </w:pPr>
      <w:r>
        <w:rPr>
          <w:rStyle w:val="CharStyle15"/>
        </w:rPr>
        <w:t xml:space="preserve">ГОСТ Росстандарта от </w:t>
      </w:r>
      <w:r>
        <w:rPr>
          <w:rStyle w:val="CharStyle15"/>
          <w:lang w:val="en-US" w:eastAsia="en-US"/>
        </w:rPr>
        <w:t xml:space="preserve">25.11.2014 № </w:t>
      </w:r>
      <w:r>
        <w:rPr>
          <w:rStyle w:val="CharStyle15"/>
        </w:rPr>
        <w:t xml:space="preserve">ГОСТ </w:t>
      </w:r>
      <w:r>
        <w:rPr>
          <w:rStyle w:val="CharStyle15"/>
          <w:lang w:val="en-US" w:eastAsia="en-US"/>
        </w:rPr>
        <w:t xml:space="preserve">29322-2014 </w:t>
      </w:r>
      <w:r>
        <w:rPr>
          <w:rStyle w:val="CharStyle15"/>
        </w:rPr>
        <w:t>не отменяет необходимость соблюдения параметров, указанных в извещении о закупке;</w:t>
      </w:r>
    </w:p>
    <w:p>
      <w:pPr>
        <w:pStyle w:val="Style14"/>
        <w:keepNext w:val="0"/>
        <w:keepLines w:val="0"/>
        <w:widowControl w:val="0"/>
        <w:numPr>
          <w:ilvl w:val="0"/>
          <w:numId w:val="15"/>
        </w:numPr>
        <w:shd w:val="clear" w:color="auto" w:fill="auto"/>
        <w:tabs>
          <w:tab w:pos="970" w:val="left"/>
        </w:tabs>
        <w:bidi w:val="0"/>
        <w:spacing w:before="0" w:after="0" w:line="240" w:lineRule="auto"/>
        <w:ind w:left="0" w:right="0" w:firstLine="740"/>
        <w:jc w:val="both"/>
      </w:pPr>
      <w:r>
        <w:rPr>
          <w:rStyle w:val="CharStyle15"/>
        </w:rPr>
        <w:t>различие в значениях может повлиять на совместимость оборудования с электросетью объекта установки медицинского изделия;</w:t>
      </w:r>
    </w:p>
    <w:p>
      <w:pPr>
        <w:pStyle w:val="Style14"/>
        <w:keepNext w:val="0"/>
        <w:keepLines w:val="0"/>
        <w:widowControl w:val="0"/>
        <w:numPr>
          <w:ilvl w:val="0"/>
          <w:numId w:val="15"/>
        </w:numPr>
        <w:shd w:val="clear" w:color="auto" w:fill="auto"/>
        <w:tabs>
          <w:tab w:pos="965" w:val="left"/>
        </w:tabs>
        <w:bidi w:val="0"/>
        <w:spacing w:before="0" w:after="0" w:line="240" w:lineRule="auto"/>
        <w:ind w:left="0" w:right="0" w:firstLine="740"/>
        <w:jc w:val="both"/>
      </w:pPr>
      <w:r>
        <w:rPr>
          <w:rStyle w:val="CharStyle15"/>
        </w:rPr>
        <w:t xml:space="preserve">аргумент об усовершенствовании напряжения сети из </w:t>
      </w:r>
      <w:r>
        <w:rPr>
          <w:rStyle w:val="CharStyle15"/>
          <w:lang w:val="en-US" w:eastAsia="en-US"/>
        </w:rPr>
        <w:t xml:space="preserve">«380 </w:t>
      </w:r>
      <w:r>
        <w:rPr>
          <w:rStyle w:val="CharStyle15"/>
        </w:rPr>
        <w:t xml:space="preserve">В» в </w:t>
      </w:r>
      <w:r>
        <w:rPr>
          <w:rStyle w:val="CharStyle15"/>
          <w:lang w:val="en-US" w:eastAsia="en-US"/>
        </w:rPr>
        <w:t xml:space="preserve">«400 </w:t>
      </w:r>
      <w:r>
        <w:rPr>
          <w:rStyle w:val="CharStyle15"/>
        </w:rPr>
        <w:t xml:space="preserve">В» в Европейских странах не отменяет факта использования сетей и оборудования с совместимостью с напряжением только </w:t>
      </w:r>
      <w:r>
        <w:rPr>
          <w:rStyle w:val="CharStyle15"/>
          <w:lang w:val="en-US" w:eastAsia="en-US"/>
        </w:rPr>
        <w:t xml:space="preserve">«380 </w:t>
      </w:r>
      <w:r>
        <w:rPr>
          <w:rStyle w:val="CharStyle15"/>
        </w:rPr>
        <w:t>В» в организациях на территории РФ;</w:t>
      </w:r>
    </w:p>
    <w:p>
      <w:pPr>
        <w:pStyle w:val="Style14"/>
        <w:keepNext w:val="0"/>
        <w:keepLines w:val="0"/>
        <w:widowControl w:val="0"/>
        <w:numPr>
          <w:ilvl w:val="0"/>
          <w:numId w:val="15"/>
        </w:numPr>
        <w:shd w:val="clear" w:color="auto" w:fill="auto"/>
        <w:tabs>
          <w:tab w:pos="970" w:val="left"/>
        </w:tabs>
        <w:bidi w:val="0"/>
        <w:spacing w:before="0" w:after="0" w:line="240" w:lineRule="auto"/>
        <w:ind w:left="0" w:right="0" w:firstLine="740"/>
        <w:jc w:val="both"/>
      </w:pPr>
      <w:r>
        <w:rPr>
          <w:rStyle w:val="CharStyle15"/>
        </w:rPr>
        <w:t>ссылка заявителя на инструкцию второго производителя, заявка которого была допущена в единственном лице и не отклонена по аналогичному доводу, при том, что якобы производитель предложенного медицинского изделия также в составе инструкции указывает 400В не состоятельна, поскольку в инструкции «Омодез» указано значение «380</w:t>
        <w:softHyphen/>
      </w:r>
      <w:r>
        <w:rPr>
          <w:rStyle w:val="CharStyle15"/>
          <w:lang w:val="ru-RU" w:eastAsia="ru-RU"/>
        </w:rPr>
      </w:r>
      <w:r>
        <w:rPr>
          <w:rStyle w:val="CharStyle15"/>
        </w:rPr>
        <w:t>400</w:t>
      </w:r>
      <w:r>
        <w:rPr>
          <w:rStyle w:val="CharStyle15"/>
          <w:lang w:val="en-US" w:eastAsia="en-US"/>
        </w:rPr>
        <w:t xml:space="preserve"> </w:t>
      </w:r>
      <w:r>
        <w:rPr>
          <w:rStyle w:val="CharStyle15"/>
        </w:rPr>
        <w:t xml:space="preserve">В», подходящее под необходимое описание и не отменяющее факта наличия значения </w:t>
      </w:r>
      <w:r>
        <w:rPr>
          <w:rStyle w:val="CharStyle15"/>
          <w:lang w:val="en-US" w:eastAsia="en-US"/>
        </w:rPr>
        <w:t xml:space="preserve">«400 </w:t>
      </w:r>
      <w:r>
        <w:rPr>
          <w:rStyle w:val="CharStyle15"/>
        </w:rPr>
        <w:t>В» в инструкции установки «Ньюстер».</w:t>
      </w:r>
    </w:p>
    <w:p>
      <w:pPr>
        <w:pStyle w:val="Style14"/>
        <w:keepNext w:val="0"/>
        <w:keepLines w:val="0"/>
        <w:widowControl w:val="0"/>
        <w:shd w:val="clear" w:color="auto" w:fill="auto"/>
        <w:bidi w:val="0"/>
        <w:spacing w:before="0" w:after="0" w:line="264" w:lineRule="auto"/>
        <w:ind w:left="0" w:right="0" w:firstLine="740"/>
        <w:jc w:val="both"/>
        <w:rPr>
          <w:sz w:val="24"/>
          <w:szCs w:val="24"/>
        </w:rPr>
        <w:sectPr>
          <w:headerReference w:type="default" r:id="rId14"/>
          <w:footerReference w:type="default" r:id="rId15"/>
          <w:footnotePr>
            <w:pos w:val="pageBottom"/>
            <w:numFmt w:val="decimal"/>
            <w:numRestart w:val="continuous"/>
          </w:footnotePr>
          <w:pgSz w:w="11900" w:h="16840"/>
          <w:pgMar w:top="798" w:right="537" w:bottom="654" w:left="1105" w:header="0" w:footer="226" w:gutter="0"/>
          <w:cols w:space="720"/>
          <w:noEndnote/>
          <w:rtlGutter w:val="0"/>
          <w:docGrid w:linePitch="360"/>
        </w:sectPr>
      </w:pPr>
      <w:r>
        <w:rPr>
          <w:rStyle w:val="CharStyle15"/>
        </w:rPr>
        <w:t xml:space="preserve">При этом, заявителем в ходе рассмотрения жалобы обращено внимание на представленные в составе поданной жалобы письма официального </w:t>
      </w:r>
      <w:r>
        <w:rPr>
          <w:rStyle w:val="CharStyle15"/>
          <w:lang w:val="en-US" w:eastAsia="en-US"/>
        </w:rPr>
        <w:t xml:space="preserve">— </w:t>
      </w:r>
      <w:r>
        <w:rPr>
          <w:rStyle w:val="CharStyle15"/>
        </w:rPr>
        <w:t xml:space="preserve">эксклюзивного сервисного центра на территории РФ по техническому обслуживанию и ремонту оборудования компании </w:t>
      </w:r>
      <w:r>
        <w:rPr>
          <w:rStyle w:val="CharStyle15"/>
          <w:lang w:val="en-US" w:eastAsia="en-US"/>
        </w:rPr>
        <w:t xml:space="preserve">«Newster System SRL” </w:t>
      </w:r>
      <w:r>
        <w:rPr>
          <w:rStyle w:val="CharStyle15"/>
        </w:rPr>
        <w:t xml:space="preserve">ООО «МЕДИ-УЭЙСТ» от </w:t>
      </w:r>
      <w:r>
        <w:rPr>
          <w:rStyle w:val="CharStyle15"/>
          <w:lang w:val="en-US" w:eastAsia="en-US"/>
        </w:rPr>
        <w:t xml:space="preserve">10.04.2026 № 25/2026, </w:t>
      </w:r>
      <w:r>
        <w:rPr>
          <w:rStyle w:val="CharStyle15"/>
        </w:rPr>
        <w:t xml:space="preserve">от </w:t>
      </w:r>
      <w:r>
        <w:rPr>
          <w:rStyle w:val="CharStyle15"/>
          <w:lang w:val="en-US" w:eastAsia="en-US"/>
        </w:rPr>
        <w:t xml:space="preserve">10.04.2026 № 26/2026, </w:t>
      </w:r>
      <w:r>
        <w:rPr>
          <w:rStyle w:val="CharStyle15"/>
        </w:rPr>
        <w:t xml:space="preserve">из содержания которых следует, что расход воды, отраженный в инструкции к установке для утилизации и термического обезвреживания медицинских отходов </w:t>
      </w:r>
      <w:r>
        <w:rPr>
          <w:rStyle w:val="CharStyle15"/>
          <w:lang w:val="en-US" w:eastAsia="en-US"/>
        </w:rPr>
        <w:t xml:space="preserve">«Newster 10» </w:t>
      </w:r>
      <w:r>
        <w:rPr>
          <w:rStyle w:val="CharStyle15"/>
        </w:rPr>
        <w:t xml:space="preserve">и равный «около </w:t>
      </w:r>
      <w:r>
        <w:rPr>
          <w:rStyle w:val="CharStyle15"/>
          <w:lang w:val="en-US" w:eastAsia="en-US"/>
        </w:rPr>
        <w:t xml:space="preserve">75 </w:t>
      </w:r>
      <w:r>
        <w:rPr>
          <w:rStyle w:val="CharStyle15"/>
        </w:rPr>
        <w:t xml:space="preserve">литров час» не является </w:t>
      </w:r>
      <w:r>
        <w:rPr>
          <w:rStyle w:val="CharStyle15"/>
          <w:sz w:val="24"/>
          <w:szCs w:val="24"/>
          <w:lang w:val="en-US" w:eastAsia="en-US"/>
        </w:rPr>
        <w:t>2026-3141</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конкретным значением и взят с существенным запасом погрешности. При продолжительности рабочего цикла в </w:t>
      </w:r>
      <w:r>
        <w:rPr>
          <w:rStyle w:val="CharStyle15"/>
          <w:lang w:val="en-US" w:eastAsia="en-US"/>
        </w:rPr>
        <w:t xml:space="preserve">30 </w:t>
      </w:r>
      <w:r>
        <w:rPr>
          <w:rStyle w:val="CharStyle15"/>
        </w:rPr>
        <w:t xml:space="preserve">минут, потребление воды в данном оборудовании составит менее или равным </w:t>
      </w:r>
      <w:r>
        <w:rPr>
          <w:rStyle w:val="CharStyle15"/>
          <w:lang w:val="en-US" w:eastAsia="en-US"/>
        </w:rPr>
        <w:t xml:space="preserve">70 </w:t>
      </w:r>
      <w:r>
        <w:rPr>
          <w:rStyle w:val="CharStyle15"/>
        </w:rPr>
        <w:t>литров в час.</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Относительно напряжения питающей сети пояснено, что значение в </w:t>
      </w:r>
      <w:r>
        <w:rPr>
          <w:rStyle w:val="CharStyle15"/>
          <w:lang w:val="en-US" w:eastAsia="en-US"/>
        </w:rPr>
        <w:t xml:space="preserve">400 </w:t>
      </w:r>
      <w:r>
        <w:rPr>
          <w:rStyle w:val="CharStyle15"/>
        </w:rPr>
        <w:t xml:space="preserve">В указанное на аппарат </w:t>
      </w:r>
      <w:r>
        <w:rPr>
          <w:rStyle w:val="CharStyle15"/>
          <w:lang w:val="en-US" w:eastAsia="en-US"/>
        </w:rPr>
        <w:t xml:space="preserve">«Newster 10» </w:t>
      </w:r>
      <w:r>
        <w:rPr>
          <w:rStyle w:val="CharStyle15"/>
        </w:rPr>
        <w:t xml:space="preserve">не относится к напряжению питающей сети, а указывает на напряжение электротока самого аппарата в соответствие с требованием ГОСТа, который применяется на территории РФ, при этом для запуска аппарата требуется электросеть </w:t>
      </w:r>
      <w:r>
        <w:rPr>
          <w:rStyle w:val="CharStyle15"/>
          <w:lang w:val="en-US" w:eastAsia="en-US"/>
        </w:rPr>
        <w:t xml:space="preserve">— </w:t>
      </w:r>
      <w:r>
        <w:rPr>
          <w:rStyle w:val="CharStyle15"/>
        </w:rPr>
        <w:t xml:space="preserve">система трехфазная </w:t>
      </w:r>
      <w:r>
        <w:rPr>
          <w:rStyle w:val="CharStyle15"/>
          <w:lang w:val="en-US" w:eastAsia="en-US"/>
        </w:rPr>
        <w:t xml:space="preserve">(380 </w:t>
      </w:r>
      <w:r>
        <w:rPr>
          <w:rStyle w:val="CharStyle15"/>
        </w:rPr>
        <w:t xml:space="preserve">или </w:t>
      </w:r>
      <w:r>
        <w:rPr>
          <w:rStyle w:val="CharStyle15"/>
          <w:lang w:val="en-US" w:eastAsia="en-US"/>
        </w:rPr>
        <w:t xml:space="preserve">400 </w:t>
      </w:r>
      <w:r>
        <w:rPr>
          <w:rStyle w:val="CharStyle15"/>
        </w:rPr>
        <w:t>В).</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Коми УФАС России отмечает следующее.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3 </w:t>
      </w:r>
      <w:r>
        <w:rPr>
          <w:rStyle w:val="CharStyle15"/>
        </w:rPr>
        <w:t xml:space="preserve">статьи </w:t>
      </w:r>
      <w:r>
        <w:rPr>
          <w:rStyle w:val="CharStyle15"/>
          <w:lang w:val="en-US" w:eastAsia="en-US"/>
        </w:rPr>
        <w:t xml:space="preserve">38 </w:t>
      </w:r>
      <w:r>
        <w:rPr>
          <w:rStyle w:val="CharStyle15"/>
        </w:rPr>
        <w:t xml:space="preserve">Федерального закона </w:t>
      </w:r>
      <w:r>
        <w:rPr>
          <w:rStyle w:val="CharStyle15"/>
          <w:lang w:val="en-US" w:eastAsia="en-US"/>
        </w:rPr>
        <w:t xml:space="preserve">№ </w:t>
      </w:r>
      <w:r>
        <w:rPr>
          <w:rStyle w:val="CharStyle15"/>
        </w:rPr>
        <w:t xml:space="preserve">323-ФЗ, приказом Минздрава России от </w:t>
      </w:r>
      <w:r>
        <w:rPr>
          <w:rStyle w:val="CharStyle15"/>
          <w:lang w:val="en-US" w:eastAsia="en-US"/>
        </w:rPr>
        <w:t xml:space="preserve">11.04.2025 № </w:t>
      </w:r>
      <w:r>
        <w:rPr>
          <w:rStyle w:val="CharStyle15"/>
        </w:rPr>
        <w:t>181н «Об утверждении требований к содержанию технической и эксплуатационной документации производителя (изготовителя) медицинского изделия» характеристики медицинского изделия подтверждаются эксплуатационной документацией.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Следовательно, только сведения, прошедшие экспертизу в рамках государственной регистрации медицинского изделия и отраженные в регистрационном досье, могут использоваться в качестве надлежащего подтверждения характеристик.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Использование иных источников, в том числе сайты производителей, письма производителей, а также официальных представителей производителей, не прошедших процедуру государственной регистрации и экспертной оценки, не предусмотрено Правилами государственной регистрации медицинских изделий и не может рассматриваться в качестве надлежащего доказательства соответствия характеристик медицинских изделий установленным требованиям.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Кроме того, согласно письму ФАС России от </w:t>
      </w:r>
      <w:r>
        <w:rPr>
          <w:rStyle w:val="CharStyle15"/>
          <w:lang w:val="en-US" w:eastAsia="en-US"/>
        </w:rPr>
        <w:t xml:space="preserve">26.05.2025 № </w:t>
      </w:r>
      <w:r>
        <w:rPr>
          <w:rStyle w:val="CharStyle15"/>
        </w:rPr>
        <w:t>ГР/48883/25 «О рассмотрении обращения», актуальные сведения в отношении медицинских изделий, разрешенных к обращению на территории РФ, отражены в инструкциях по применению медицинских изделий, содержащихся в реестре медицинских изделий и организаций (индивидуальных предпринимателей), осуществляющих производство и изготовление медицинских изделий Росздравнадзора.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При необходимости сведения, представленные в заявках участников, следует сверять с приведенными в реестре.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письму ФАС России ДФ/18210/25 от </w:t>
      </w:r>
      <w:r>
        <w:rPr>
          <w:rStyle w:val="CharStyle15"/>
          <w:lang w:val="en-US" w:eastAsia="en-US"/>
        </w:rPr>
        <w:t xml:space="preserve">28.02.2025: </w:t>
      </w:r>
      <w:r>
        <w:rPr>
          <w:rStyle w:val="CharStyle15"/>
        </w:rPr>
        <w:t xml:space="preserve">«Дополнительно ФАС России отмечает, что письмо от производителя, а также информация, размещенная в открытом доступе сети «Интернет» не является подтверждающим документом при осуществлении государственной закупки, а учитывается информация, содержащаяся в регистрационных документах и эксплуатационной документации, размещенной на </w:t>
      </w:r>
      <w:r>
        <w:rPr>
          <w:rStyle w:val="CharStyle15"/>
          <w:u w:val="single"/>
        </w:rPr>
        <w:t>официальном сайте</w:t>
      </w:r>
      <w:r>
        <w:rPr>
          <w:rStyle w:val="CharStyle15"/>
        </w:rPr>
        <w:t xml:space="preserve"> Росздравнадзора».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Таким образом, официальным источником информации в отношении медицинских изделий могут быть только источники, данные о которых внесены в регистрационное досье и содержатся на сайте Росздравнадзора.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Приняв во внимание вышеизложенное, Комиссия Коми УФАС России пришла к выводу о правомерности действия комиссии по осуществлению закупки в виде принятия решения об отклонении заявки заявителя на основании пункта </w:t>
      </w:r>
      <w:r>
        <w:rPr>
          <w:rStyle w:val="CharStyle15"/>
          <w:lang w:val="en-US" w:eastAsia="en-US"/>
        </w:rPr>
        <w:t xml:space="preserve">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Закона о контрактной системе в виду наличия расхождений в значениях характеристик, указанных в заявке такого участника и Руководстве пользователя установки производителя «НЬЮСТЕР СИСТЕМ».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 учетом всех изложенных обстоятельств, установленных в ходе рассмотрения жалобы, руководствуясь подпунктом «б» пункта </w:t>
      </w:r>
      <w:r>
        <w:rPr>
          <w:rStyle w:val="CharStyle15"/>
          <w:lang w:val="en-US" w:eastAsia="en-US"/>
        </w:rPr>
        <w:t xml:space="preserve">1 </w:t>
      </w:r>
      <w:r>
        <w:rPr>
          <w:rStyle w:val="CharStyle15"/>
        </w:rPr>
        <w:t xml:space="preserve">части </w:t>
      </w:r>
      <w:r>
        <w:rPr>
          <w:rStyle w:val="CharStyle15"/>
          <w:lang w:val="en-US" w:eastAsia="en-US"/>
        </w:rPr>
        <w:t xml:space="preserve">3, </w:t>
      </w: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частью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Закона о контрактной системе, Комиссия Коми УФАС России</w:t>
      </w:r>
      <w:r>
        <w:br w:type="page"/>
      </w:r>
    </w:p>
    <w:p>
      <w:pPr>
        <w:pStyle w:val="Style14"/>
        <w:keepNext w:val="0"/>
        <w:keepLines w:val="0"/>
        <w:widowControl w:val="0"/>
        <w:shd w:val="clear" w:color="auto" w:fill="auto"/>
        <w:bidi w:val="0"/>
        <w:spacing w:before="0" w:after="260" w:line="240" w:lineRule="auto"/>
        <w:ind w:left="0" w:right="0" w:firstLine="0"/>
        <w:jc w:val="center"/>
      </w:pPr>
      <w:r>
        <w:rPr>
          <w:rStyle w:val="CharStyle15"/>
          <w:b/>
          <w:bCs/>
        </w:rPr>
        <w:t>РЕШИЛА:</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 xml:space="preserve">Признать жалобу ООО «Миллениум Кэпитал» на действия комиссии по осуществлению закупки ГКУ РК «ЦООиПТ» при проведении электронного аукциона «Поставка установки для обеззараживания и измельчения медицинских отходов на объект капитального строительства «Республиканская инфекционная больница в г. Сыктывкаре </w:t>
      </w:r>
      <w:r>
        <w:rPr>
          <w:rStyle w:val="CharStyle15"/>
          <w:lang w:val="en-US" w:eastAsia="en-US"/>
        </w:rPr>
        <w:t xml:space="preserve">( </w:t>
      </w:r>
      <w:r>
        <w:rPr>
          <w:rStyle w:val="CharStyle15"/>
        </w:rPr>
        <w:t xml:space="preserve">этап)», извещение </w:t>
      </w:r>
      <w:r>
        <w:rPr>
          <w:rStyle w:val="CharStyle15"/>
          <w:lang w:val="en-US" w:eastAsia="en-US"/>
        </w:rPr>
        <w:t xml:space="preserve">№ 0307200030626000608, </w:t>
      </w:r>
      <w:r>
        <w:rPr>
          <w:rStyle w:val="CharStyle15"/>
        </w:rPr>
        <w:t>необоснованной.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части </w:t>
      </w:r>
      <w:r>
        <w:rPr>
          <w:rStyle w:val="CharStyle15"/>
          <w:lang w:val="en-US" w:eastAsia="en-US"/>
        </w:rPr>
        <w:t xml:space="preserve">9 </w:t>
      </w:r>
      <w:r>
        <w:rPr>
          <w:rStyle w:val="CharStyle15"/>
        </w:rPr>
        <w:t xml:space="preserve">статьи </w:t>
      </w:r>
      <w:r>
        <w:rPr>
          <w:rStyle w:val="CharStyle15"/>
          <w:lang w:val="en-US" w:eastAsia="en-US"/>
        </w:rPr>
        <w:t xml:space="preserve">106 </w:t>
      </w:r>
      <w:r>
        <w:rPr>
          <w:rStyle w:val="CharStyle15"/>
        </w:rPr>
        <w:t>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widowControl w:val="0"/>
        <w:spacing w:line="1" w:lineRule="exact"/>
        <w:sectPr>
          <w:headerReference w:type="default" r:id="rId16"/>
          <w:footerReference w:type="default" r:id="rId17"/>
          <w:footnotePr>
            <w:pos w:val="pageBottom"/>
            <w:numFmt w:val="decimal"/>
            <w:numRestart w:val="continuous"/>
          </w:footnotePr>
          <w:pgSz w:w="11900" w:h="16840"/>
          <w:pgMar w:top="826" w:right="542" w:bottom="1292" w:left="1105" w:header="0" w:footer="3" w:gutter="0"/>
          <w:cols w:space="720"/>
          <w:noEndnote/>
          <w:rtlGutter w:val="0"/>
          <w:docGrid w:linePitch="360"/>
        </w:sectPr>
      </w:pPr>
      <w:r>
        <mc:AlternateContent>
          <mc:Choice Requires="wps">
            <w:drawing>
              <wp:anchor distT="660400" distB="247015" distL="0" distR="0" simplePos="0" relativeHeight="125829383" behindDoc="0" locked="0" layoutInCell="1" allowOverlap="1">
                <wp:simplePos x="0" y="0"/>
                <wp:positionH relativeFrom="page">
                  <wp:posOffset>738505</wp:posOffset>
                </wp:positionH>
                <wp:positionV relativeFrom="paragraph">
                  <wp:posOffset>660400</wp:posOffset>
                </wp:positionV>
                <wp:extent cx="1697990" cy="225425"/>
                <wp:wrapTopAndBottom/>
                <wp:docPr id="25" name="Shape 25"/>
                <a:graphic xmlns:a="http://schemas.openxmlformats.org/drawingml/2006/main">
                  <a:graphicData uri="http://schemas.microsoft.com/office/word/2010/wordprocessingShape">
                    <wps:wsp>
                      <wps:cNvSpPr txBox="1"/>
                      <wps:spPr>
                        <a:xfrm>
                          <a:ext cx="1697990" cy="22542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51" type="#_x0000_t202" style="position:absolute;margin-left:58.149999999999999pt;margin-top:52.pt;width:133.69999999999999pt;height:17.75pt;z-index:-125829370;mso-wrap-distance-left:0;mso-wrap-distance-top:52.pt;mso-wrap-distance-right:0;mso-wrap-distance-bottom:19.44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794385" distB="0" distL="0" distR="1524000" simplePos="0" relativeHeight="125829385" behindDoc="0" locked="0" layoutInCell="1" allowOverlap="1">
            <wp:simplePos x="0" y="0"/>
            <wp:positionH relativeFrom="page">
              <wp:posOffset>3286760</wp:posOffset>
            </wp:positionH>
            <wp:positionV relativeFrom="paragraph">
              <wp:posOffset>794385</wp:posOffset>
            </wp:positionV>
            <wp:extent cx="304800" cy="34163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8"/>
                    <a:stretch/>
                  </pic:blipFill>
                  <pic:spPr>
                    <a:xfrm>
                      <a:ext cx="304800" cy="34163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3640455</wp:posOffset>
                </wp:positionH>
                <wp:positionV relativeFrom="paragraph">
                  <wp:posOffset>867410</wp:posOffset>
                </wp:positionV>
                <wp:extent cx="1475105" cy="225425"/>
                <wp:wrapNone/>
                <wp:docPr id="29" name="Shape 29"/>
                <a:graphic xmlns:a="http://schemas.openxmlformats.org/drawingml/2006/main">
                  <a:graphicData uri="http://schemas.microsoft.com/office/word/2010/wordprocessingShape">
                    <wps:wsp>
                      <wps:cNvSpPr txBox="1"/>
                      <wps:spPr>
                        <a:xfrm>
                          <a:ext cx="1475105" cy="225425"/>
                        </a:xfrm>
                        <a:prstGeom prst="rect"/>
                        <a:noFill/>
                      </wps:spPr>
                      <wps:txbx>
                        <w:txbxContent>
                          <w:p>
                            <w:pPr>
                              <w:pStyle w:val="Style22"/>
                              <w:keepNext w:val="0"/>
                              <w:keepLines w:val="0"/>
                              <w:widowControl w:val="0"/>
                              <w:shd w:val="clear" w:color="auto" w:fill="auto"/>
                              <w:bidi w:val="0"/>
                              <w:spacing w:before="0" w:after="0" w:line="221"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6.65000000000003pt;margin-top:68.299999999999997pt;width:116.15000000000001pt;height:17.75pt;z-index:251657729;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21"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0" distB="8890" distL="0" distR="0" simplePos="0" relativeHeight="125829386" behindDoc="0" locked="0" layoutInCell="1" allowOverlap="1">
                <wp:simplePos x="0" y="0"/>
                <wp:positionH relativeFrom="page">
                  <wp:posOffset>6212840</wp:posOffset>
                </wp:positionH>
                <wp:positionV relativeFrom="paragraph">
                  <wp:posOffset>889000</wp:posOffset>
                </wp:positionV>
                <wp:extent cx="975360" cy="234950"/>
                <wp:wrapTopAndBottom/>
                <wp:docPr id="31" name="Shape 31"/>
                <a:graphic xmlns:a="http://schemas.openxmlformats.org/drawingml/2006/main">
                  <a:graphicData uri="http://schemas.microsoft.com/office/word/2010/wordprocessingShape">
                    <wps:wsp>
                      <wps:cNvSpPr txBox="1"/>
                      <wps:spPr>
                        <a:xfrm>
                          <a:ext cx="975360" cy="2349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О.И. Дейберт</w:t>
                            </w:r>
                          </w:p>
                        </w:txbxContent>
                      </wps:txbx>
                      <wps:bodyPr wrap="none" lIns="0" tIns="0" rIns="0" bIns="0">
                        <a:noAutoFit/>
                      </wps:bodyPr>
                    </wps:wsp>
                  </a:graphicData>
                </a:graphic>
              </wp:anchor>
            </w:drawing>
          </mc:Choice>
          <mc:Fallback>
            <w:pict>
              <v:shape id="_x0000_s1057" type="#_x0000_t202" style="position:absolute;margin-left:489.19999999999999pt;margin-top:70.pt;width:76.799999999999997pt;height:18.5pt;z-index:-125829367;mso-wrap-distance-left:0;mso-wrap-distance-top:70.pt;mso-wrap-distance-right:0;mso-wrap-distance-bottom:0.70000000000000007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О.И. Дейберт</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6" w:line="240" w:lineRule="auto"/>
        <w:ind w:left="4700" w:right="0" w:firstLine="0"/>
        <w:jc w:val="left"/>
      </w:pPr>
      <w:r>
        <w:rPr>
          <w:rStyle w:val="CharStyle26"/>
        </w:rPr>
        <w:t>СВЕДЕНИЯ О СЕРТИФИКАТЕ ЭП</w:t>
      </w:r>
    </w:p>
    <w:p>
      <w:pPr>
        <w:pStyle w:val="Style27"/>
        <w:keepNext w:val="0"/>
        <w:keepLines w:val="0"/>
        <w:widowControl w:val="0"/>
        <w:shd w:val="clear" w:color="auto" w:fill="auto"/>
        <w:bidi w:val="0"/>
        <w:spacing w:before="0" w:after="0" w:line="240" w:lineRule="auto"/>
        <w:ind w:left="0" w:right="0" w:firstLine="0"/>
        <w:jc w:val="center"/>
      </w:pPr>
      <w:r>
        <w:rPr>
          <w:rStyle w:val="CharStyle28"/>
        </w:rPr>
        <w:t xml:space="preserve">Кому выдан </w:t>
      </w:r>
      <w:r>
        <w:rPr>
          <w:rStyle w:val="CharStyle28"/>
          <w:color w:val="000000"/>
        </w:rPr>
        <w:t>Дейберт Ольга Ивановна</w:t>
      </w:r>
    </w:p>
    <w:p>
      <w:pPr>
        <w:pStyle w:val="Style27"/>
        <w:keepNext w:val="0"/>
        <w:keepLines w:val="0"/>
        <w:widowControl w:val="0"/>
        <w:shd w:val="clear" w:color="auto" w:fill="auto"/>
        <w:bidi w:val="0"/>
        <w:spacing w:before="0" w:after="0" w:line="240" w:lineRule="auto"/>
        <w:ind w:left="4080" w:right="0" w:firstLine="0"/>
        <w:jc w:val="both"/>
      </w:pPr>
      <w:r>
        <w:rPr>
          <w:rStyle w:val="CharStyle28"/>
        </w:rPr>
        <w:t xml:space="preserve">Сертификат № </w:t>
      </w:r>
      <w:r>
        <w:rPr>
          <w:rStyle w:val="CharStyle28"/>
          <w:lang w:val="en-US" w:eastAsia="en-US"/>
        </w:rPr>
        <w:t>720D2E110D863DA326B8D321F4498F6E</w:t>
      </w:r>
    </w:p>
    <w:p>
      <w:pPr>
        <w:pStyle w:val="Style27"/>
        <w:keepNext w:val="0"/>
        <w:keepLines w:val="0"/>
        <w:widowControl w:val="0"/>
        <w:shd w:val="clear" w:color="auto" w:fill="auto"/>
        <w:bidi w:val="0"/>
        <w:spacing w:before="0" w:after="0" w:line="240" w:lineRule="auto"/>
        <w:ind w:left="0" w:right="0" w:firstLine="0"/>
        <w:jc w:val="center"/>
      </w:pPr>
      <w:r>
        <w:rPr>
          <w:rStyle w:val="CharStyle28"/>
        </w:rPr>
        <w:t>Действителен с 26.12.2025 по 21.03.2027</w:t>
      </w:r>
    </w:p>
    <w:p>
      <w:pPr>
        <w:widowControl w:val="0"/>
        <w:spacing w:line="1" w:lineRule="exact"/>
        <w:sectPr>
          <w:footnotePr>
            <w:pos w:val="pageBottom"/>
            <w:numFmt w:val="decimal"/>
            <w:numRestart w:val="continuous"/>
          </w:footnotePr>
          <w:type w:val="continuous"/>
          <w:pgSz w:w="11900" w:h="16840"/>
          <w:pgMar w:top="1124" w:right="541" w:bottom="6658" w:left="1106" w:header="0" w:footer="3" w:gutter="0"/>
          <w:cols w:space="720"/>
          <w:noEndnote/>
          <w:rtlGutter w:val="0"/>
          <w:docGrid w:linePitch="360"/>
        </w:sectPr>
      </w:pPr>
      <w:r>
        <mc:AlternateContent>
          <mc:Choice Requires="wps">
            <w:drawing>
              <wp:anchor distT="76200" distB="225425" distL="0" distR="0" simplePos="0" relativeHeight="125829388" behindDoc="0" locked="0" layoutInCell="1" allowOverlap="1">
                <wp:simplePos x="0" y="0"/>
                <wp:positionH relativeFrom="page">
                  <wp:posOffset>735330</wp:posOffset>
                </wp:positionH>
                <wp:positionV relativeFrom="paragraph">
                  <wp:posOffset>76200</wp:posOffset>
                </wp:positionV>
                <wp:extent cx="1249680" cy="228600"/>
                <wp:wrapTopAndBottom/>
                <wp:docPr id="33" name="Shape 33"/>
                <a:graphic xmlns:a="http://schemas.openxmlformats.org/drawingml/2006/main">
                  <a:graphicData uri="http://schemas.microsoft.com/office/word/2010/wordprocessingShape">
                    <wps:wsp>
                      <wps:cNvSpPr txBox="1"/>
                      <wps:spPr>
                        <a:xfrm>
                          <a:ext cx="1249680" cy="22860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59" type="#_x0000_t202" style="position:absolute;margin-left:57.899999999999999pt;margin-top:6.pt;width:98.400000000000006pt;height:18.pt;z-index:-125829365;mso-wrap-distance-left:0;mso-wrap-distance-top:6.pt;mso-wrap-distance-right:0;mso-wrap-distance-bottom:17.7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189230" distB="14605" distL="0" distR="1615440" simplePos="0" relativeHeight="125829390" behindDoc="0" locked="0" layoutInCell="1" allowOverlap="1">
            <wp:simplePos x="0" y="0"/>
            <wp:positionH relativeFrom="page">
              <wp:posOffset>3258820</wp:posOffset>
            </wp:positionH>
            <wp:positionV relativeFrom="paragraph">
              <wp:posOffset>189230</wp:posOffset>
            </wp:positionV>
            <wp:extent cx="280670" cy="32893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0"/>
                    <a:stretch/>
                  </pic:blipFill>
                  <pic:spPr>
                    <a:xfrm>
                      <a:ext cx="280670" cy="3289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3612515</wp:posOffset>
                </wp:positionH>
                <wp:positionV relativeFrom="paragraph">
                  <wp:posOffset>250190</wp:posOffset>
                </wp:positionV>
                <wp:extent cx="1542415" cy="234950"/>
                <wp:wrapNone/>
                <wp:docPr id="37" name="Shape 37"/>
                <a:graphic xmlns:a="http://schemas.openxmlformats.org/drawingml/2006/main">
                  <a:graphicData uri="http://schemas.microsoft.com/office/word/2010/wordprocessingShape">
                    <wps:wsp>
                      <wps:cNvSpPr txBox="1"/>
                      <wps:spPr>
                        <a:xfrm>
                          <a:ext cx="1542415" cy="234950"/>
                        </a:xfrm>
                        <a:prstGeom prst="rect"/>
                        <a:noFill/>
                      </wps:spPr>
                      <wps:txbx>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4.44999999999999pt;margin-top:19.699999999999999pt;width:121.45pt;height:18.5pt;z-index:251657731;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line="240" w:lineRule="auto"/>
                        <w:ind w:left="0" w:right="0" w:firstLine="0"/>
                        <w:jc w:val="left"/>
                      </w:pPr>
                      <w:r>
                        <w:rPr>
                          <w:rStyle w:val="CharStyle2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7975" distB="0" distL="0" distR="0" simplePos="0" relativeHeight="125829391" behindDoc="0" locked="0" layoutInCell="1" allowOverlap="1">
                <wp:simplePos x="0" y="0"/>
                <wp:positionH relativeFrom="page">
                  <wp:posOffset>6289040</wp:posOffset>
                </wp:positionH>
                <wp:positionV relativeFrom="paragraph">
                  <wp:posOffset>307975</wp:posOffset>
                </wp:positionV>
                <wp:extent cx="895985" cy="222250"/>
                <wp:wrapTopAndBottom/>
                <wp:docPr id="39" name="Shape 39"/>
                <a:graphic xmlns:a="http://schemas.openxmlformats.org/drawingml/2006/main">
                  <a:graphicData uri="http://schemas.microsoft.com/office/word/2010/wordprocessingShape">
                    <wps:wsp>
                      <wps:cNvSpPr txBox="1"/>
                      <wps:spPr>
                        <a:xfrm>
                          <a:ext cx="895985" cy="22225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Н.В. Сандул</w:t>
                            </w:r>
                          </w:p>
                        </w:txbxContent>
                      </wps:txbx>
                      <wps:bodyPr wrap="none" lIns="0" tIns="0" rIns="0" bIns="0">
                        <a:noAutoFit/>
                      </wps:bodyPr>
                    </wps:wsp>
                  </a:graphicData>
                </a:graphic>
              </wp:anchor>
            </w:drawing>
          </mc:Choice>
          <mc:Fallback>
            <w:pict>
              <v:shape id="_x0000_s1065" type="#_x0000_t202" style="position:absolute;margin-left:495.19999999999999pt;margin-top:24.25pt;width:70.549999999999997pt;height:17.5pt;z-index:-125829362;mso-wrap-distance-left:0;mso-wrap-distance-top:24.25pt;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Н.В. Сандул</w:t>
                      </w:r>
                    </w:p>
                  </w:txbxContent>
                </v:textbox>
                <w10:wrap type="topAndBottom" anchorx="page"/>
              </v:shape>
            </w:pict>
          </mc:Fallback>
        </mc:AlternateConten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rStyle w:val="CharStyle26"/>
        </w:rPr>
        <w:t>СВЕДЕНИЯ О СЕРТИФИКАТЕ ЭП</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Кому выдан: </w:t>
      </w:r>
      <w:r>
        <w:rPr>
          <w:rStyle w:val="CharStyle28"/>
          <w:color w:val="000000"/>
        </w:rPr>
        <w:t>Сандул Наталия Васильевна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C2C2C"/>
        </w:rPr>
        <w:t xml:space="preserve">№ </w:t>
      </w:r>
      <w:r>
        <w:rPr>
          <w:rStyle w:val="CharStyle28"/>
        </w:rPr>
        <w:t>19В51</w:t>
      </w:r>
      <w:r>
        <w:rPr>
          <w:rStyle w:val="CharStyle28"/>
          <w:lang w:val="en-US" w:eastAsia="en-US"/>
        </w:rPr>
        <w:t>A20B5CACAB040F66E2D5DBD5DFF</w:t>
      </w:r>
    </w:p>
    <w:p>
      <w:pPr>
        <w:pStyle w:val="Style27"/>
        <w:keepNext w:val="0"/>
        <w:keepLines w:val="0"/>
        <w:widowControl w:val="0"/>
        <w:shd w:val="clear" w:color="auto" w:fill="auto"/>
        <w:bidi w:val="0"/>
        <w:spacing w:before="0" w:after="560" w:line="240" w:lineRule="auto"/>
        <w:ind w:right="0" w:firstLine="0"/>
        <w:jc w:val="left"/>
      </w:pPr>
      <w:r>
        <w:drawing>
          <wp:anchor distT="0" distB="0" distL="114300" distR="1760220" simplePos="0" relativeHeight="125829393" behindDoc="0" locked="0" layoutInCell="1" allowOverlap="1">
            <wp:simplePos x="0" y="0"/>
            <wp:positionH relativeFrom="page">
              <wp:posOffset>3255645</wp:posOffset>
            </wp:positionH>
            <wp:positionV relativeFrom="paragraph">
              <wp:posOffset>330200</wp:posOffset>
            </wp:positionV>
            <wp:extent cx="292735" cy="335280"/>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2"/>
                    <a:stretch/>
                  </pic:blipFill>
                  <pic:spPr>
                    <a:xfrm>
                      <a:ext cx="292735" cy="33528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3615055</wp:posOffset>
                </wp:positionH>
                <wp:positionV relativeFrom="paragraph">
                  <wp:posOffset>394335</wp:posOffset>
                </wp:positionV>
                <wp:extent cx="1576070" cy="237490"/>
                <wp:wrapNone/>
                <wp:docPr id="43" name="Shape 43"/>
                <a:graphic xmlns:a="http://schemas.openxmlformats.org/drawingml/2006/main">
                  <a:graphicData uri="http://schemas.microsoft.com/office/word/2010/wordprocessingShape">
                    <wps:wsp>
                      <wps:cNvSpPr txBox="1"/>
                      <wps:spPr>
                        <a:xfrm>
                          <a:ext cx="1576070" cy="237490"/>
                        </a:xfrm>
                        <a:prstGeom prst="rect"/>
                        <a:noFill/>
                      </wps:spPr>
                      <wps:txbx>
                        <w:txbxContent>
                          <w:p>
                            <w:pPr>
                              <w:pStyle w:val="Style22"/>
                              <w:keepNext w:val="0"/>
                              <w:keepLines w:val="0"/>
                              <w:widowControl w:val="0"/>
                              <w:shd w:val="clear" w:color="auto" w:fill="auto"/>
                              <w:bidi w:val="0"/>
                              <w:spacing w:before="0" w:after="0"/>
                              <w:ind w:left="0" w:right="0" w:firstLine="0"/>
                              <w:jc w:val="left"/>
                            </w:pPr>
                            <w:r>
                              <w:rPr>
                                <w:rStyle w:val="CharStyle23"/>
                              </w:rPr>
                              <w:t>Подлинник электронного документа, подписанного</w:t>
                            </w:r>
                          </w:p>
                          <w:p>
                            <w:pPr>
                              <w:pStyle w:val="Style22"/>
                              <w:keepNext w:val="0"/>
                              <w:keepLines w:val="0"/>
                              <w:widowControl w:val="0"/>
                              <w:shd w:val="clear" w:color="auto" w:fill="auto"/>
                              <w:bidi w:val="0"/>
                              <w:spacing w:before="0" w:after="0"/>
                              <w:ind w:left="0" w:right="0" w:firstLine="0"/>
                              <w:jc w:val="left"/>
                            </w:pPr>
                            <w:r>
                              <w:rPr>
                                <w:rStyle w:val="CharStyle23"/>
                                <w:color w:val="000000"/>
                              </w:rPr>
                              <w:t xml:space="preserve">ЭП, </w:t>
                            </w:r>
                            <w:r>
                              <w:rPr>
                                <w:rStyle w:val="CharStyle23"/>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84.65000000000003pt;margin-top:31.050000000000001pt;width:124.10000000000001pt;height:18.699999999999999pt;z-index:251657733;mso-wrap-distance-left:0;mso-wrap-distance-right:0;mso-position-horizontal-relative:page" filled="f" stroked="f">
                <v:textbox inset="0,0,0,0">
                  <w:txbxContent>
                    <w:p>
                      <w:pPr>
                        <w:pStyle w:val="Style22"/>
                        <w:keepNext w:val="0"/>
                        <w:keepLines w:val="0"/>
                        <w:widowControl w:val="0"/>
                        <w:shd w:val="clear" w:color="auto" w:fill="auto"/>
                        <w:bidi w:val="0"/>
                        <w:spacing w:before="0" w:after="0"/>
                        <w:ind w:left="0" w:right="0" w:firstLine="0"/>
                        <w:jc w:val="left"/>
                      </w:pPr>
                      <w:r>
                        <w:rPr>
                          <w:rStyle w:val="CharStyle23"/>
                        </w:rPr>
                        <w:t>Подлинник электронного документа, подписанного</w:t>
                      </w:r>
                    </w:p>
                    <w:p>
                      <w:pPr>
                        <w:pStyle w:val="Style22"/>
                        <w:keepNext w:val="0"/>
                        <w:keepLines w:val="0"/>
                        <w:widowControl w:val="0"/>
                        <w:shd w:val="clear" w:color="auto" w:fill="auto"/>
                        <w:bidi w:val="0"/>
                        <w:spacing w:before="0" w:after="0"/>
                        <w:ind w:left="0" w:right="0" w:firstLine="0"/>
                        <w:jc w:val="left"/>
                      </w:pPr>
                      <w:r>
                        <w:rPr>
                          <w:rStyle w:val="CharStyle23"/>
                          <w:color w:val="000000"/>
                        </w:rPr>
                        <w:t xml:space="preserve">ЭП, </w:t>
                      </w:r>
                      <w:r>
                        <w:rPr>
                          <w:rStyle w:val="CharStyle23"/>
                        </w:rPr>
                        <w:t>хранится в системе электронного документооборота ФАС России</w:t>
                      </w:r>
                    </w:p>
                  </w:txbxContent>
                </v:textbox>
                <w10:wrap anchorx="page"/>
              </v:shape>
            </w:pict>
          </mc:Fallback>
        </mc:AlternateContent>
      </w:r>
      <w:r>
        <w:rPr>
          <w:rStyle w:val="CharStyle28"/>
        </w:rPr>
        <w:t>Действителен с 01.1</w:t>
      </w:r>
      <w:r>
        <w:rPr>
          <w:rStyle w:val="CharStyle28"/>
          <w:color w:val="2C2C2C"/>
        </w:rPr>
        <w:t>1</w:t>
      </w:r>
      <w:r>
        <w:rPr>
          <w:rStyle w:val="CharStyle28"/>
        </w:rPr>
        <w:t>.2025 по 25.01.2027</w:t>
      </w:r>
    </w:p>
    <w:p>
      <w:pPr>
        <w:pStyle w:val="Style14"/>
        <w:keepNext w:val="0"/>
        <w:keepLines w:val="0"/>
        <w:widowControl w:val="0"/>
        <w:shd w:val="clear" w:color="auto" w:fill="auto"/>
        <w:bidi w:val="0"/>
        <w:spacing w:before="0" w:after="0" w:line="240" w:lineRule="auto"/>
        <w:ind w:left="1240" w:right="0" w:firstLine="0"/>
        <w:jc w:val="left"/>
      </w:pPr>
      <w:r>
        <w:rPr>
          <w:rStyle w:val="CharStyle15"/>
        </w:rPr>
        <w:t>А.А. Мокиенко</w:t>
      </w:r>
    </w:p>
    <w:p>
      <w:pPr>
        <w:pStyle w:val="Style25"/>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51" w:line="240" w:lineRule="auto"/>
        <w:ind w:right="0" w:firstLine="0"/>
        <w:jc w:val="left"/>
      </w:pPr>
      <w:r>
        <w:rPr>
          <w:rStyle w:val="CharStyle26"/>
        </w:rPr>
        <w:t>СВЕДЕНИЯ О СЕРТИФИКАТЕ ЭП</w:t>
      </w:r>
    </w:p>
    <w:p>
      <w:pPr>
        <w:pStyle w:val="Style25"/>
        <w:keepNext w:val="0"/>
        <w:keepLines w:val="0"/>
        <w:widowControl w:val="0"/>
        <w:shd w:val="clear" w:color="auto" w:fill="auto"/>
        <w:bidi w:val="0"/>
        <w:spacing w:before="0" w:after="0" w:line="240" w:lineRule="auto"/>
        <w:ind w:left="4020" w:right="0" w:firstLine="0"/>
        <w:jc w:val="left"/>
      </w:pPr>
      <w:r>
        <w:rPr>
          <w:rStyle w:val="CharStyle26"/>
          <w:rFonts w:ascii="Arial" w:eastAsia="Arial" w:hAnsi="Arial" w:cs="Arial"/>
          <w:color w:val="4F4F4F"/>
          <w:sz w:val="10"/>
          <w:szCs w:val="10"/>
        </w:rPr>
        <w:t xml:space="preserve">Кому выдан: </w:t>
      </w:r>
      <w:r>
        <w:rPr>
          <w:rStyle w:val="CharStyle26"/>
          <w:color w:val="000000"/>
        </w:rPr>
        <w:t>Мокиенко Анастасия Александровна</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Сертификат </w:t>
      </w:r>
      <w:r>
        <w:rPr>
          <w:rStyle w:val="CharStyle28"/>
          <w:color w:val="2C2C2C"/>
        </w:rPr>
        <w:t xml:space="preserve">№ </w:t>
      </w:r>
      <w:r>
        <w:rPr>
          <w:rStyle w:val="CharStyle28"/>
          <w:lang w:val="en-US" w:eastAsia="en-US"/>
        </w:rPr>
        <w:t>009AE1C3AE1DD1A28CB3EE023E9F3D70A</w:t>
      </w:r>
    </w:p>
    <w:p>
      <w:pPr>
        <w:pStyle w:val="Style27"/>
        <w:keepNext w:val="0"/>
        <w:keepLines w:val="0"/>
        <w:widowControl w:val="0"/>
        <w:shd w:val="clear" w:color="auto" w:fill="auto"/>
        <w:bidi w:val="0"/>
        <w:spacing w:before="0" w:after="0" w:line="240" w:lineRule="auto"/>
        <w:ind w:right="0" w:firstLine="0"/>
        <w:jc w:val="left"/>
      </w:pPr>
      <w:r>
        <w:rPr>
          <w:rStyle w:val="CharStyle28"/>
        </w:rPr>
        <w:t xml:space="preserve">Действителен </w:t>
      </w:r>
      <w:r>
        <w:rPr>
          <w:rStyle w:val="CharStyle28"/>
          <w:color w:val="676767"/>
        </w:rPr>
        <w:t xml:space="preserve">с </w:t>
      </w:r>
      <w:r>
        <w:rPr>
          <w:rStyle w:val="CharStyle28"/>
        </w:rPr>
        <w:t xml:space="preserve">26.12.2025 </w:t>
      </w:r>
      <w:r>
        <w:rPr>
          <w:rStyle w:val="CharStyle28"/>
          <w:color w:val="676767"/>
        </w:rPr>
        <w:t xml:space="preserve">по </w:t>
      </w:r>
      <w:r>
        <w:rPr>
          <w:rStyle w:val="CharStyle28"/>
        </w:rPr>
        <w:t>21.03.2027</w:t>
      </w:r>
    </w:p>
    <w:sectPr>
      <w:footnotePr>
        <w:pos w:val="pageBottom"/>
        <w:numFmt w:val="decimal"/>
        <w:numRestart w:val="continuous"/>
      </w:footnotePr>
      <w:type w:val="continuous"/>
      <w:pgSz w:w="11900" w:h="16840"/>
      <w:pgMar w:top="1124" w:right="541" w:bottom="112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10379075</wp:posOffset>
              </wp:positionV>
              <wp:extent cx="628015" cy="128270"/>
              <wp:wrapNone/>
              <wp:docPr id="3" name="Shape 3"/>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2026-3141</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5pt;margin-top:817.25pt;width:49.450000000000003pt;height:10.1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2026-3141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10010140</wp:posOffset>
              </wp:positionV>
              <wp:extent cx="628015" cy="128270"/>
              <wp:wrapNone/>
              <wp:docPr id="11" name="Shape 11"/>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wps:txbx>
                    <wps:bodyPr wrap="none" lIns="0" tIns="0" rIns="0" bIns="0">
                      <a:spAutoFit/>
                    </wps:bodyPr>
                  </wps:wsp>
                </a:graphicData>
              </a:graphic>
            </wp:anchor>
          </w:drawing>
        </mc:Choice>
        <mc:Fallback>
          <w:pict>
            <v:shape id="_x0000_s1037" type="#_x0000_t202" style="position:absolute;margin-left:56.700000000000003pt;margin-top:788.20000000000005pt;width:49.450000000000003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720090</wp:posOffset>
              </wp:positionH>
              <wp:positionV relativeFrom="page">
                <wp:posOffset>10010140</wp:posOffset>
              </wp:positionV>
              <wp:extent cx="628015" cy="128270"/>
              <wp:wrapNone/>
              <wp:docPr id="17" name="Shape 17"/>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wps:txbx>
                    <wps:bodyPr wrap="none" lIns="0" tIns="0" rIns="0" bIns="0">
                      <a:spAutoFit/>
                    </wps:bodyPr>
                  </wps:wsp>
                </a:graphicData>
              </a:graphic>
            </wp:anchor>
          </w:drawing>
        </mc:Choice>
        <mc:Fallback>
          <w:pict>
            <v:shape id="_x0000_s1043" type="#_x0000_t202" style="position:absolute;margin-left:56.700000000000003pt;margin-top:788.20000000000005pt;width:49.450000000000003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720090</wp:posOffset>
              </wp:positionH>
              <wp:positionV relativeFrom="page">
                <wp:posOffset>10010140</wp:posOffset>
              </wp:positionV>
              <wp:extent cx="628015" cy="128270"/>
              <wp:wrapNone/>
              <wp:docPr id="23" name="Shape 23"/>
              <a:graphic xmlns:a="http://schemas.openxmlformats.org/drawingml/2006/main">
                <a:graphicData uri="http://schemas.microsoft.com/office/word/2010/wordprocessingShape">
                  <wps:wsp>
                    <wps:cNvSpPr txBox="1"/>
                    <wps:spPr>
                      <a:xfrm>
                        <a:ext cx="62801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wps:txbx>
                    <wps:bodyPr wrap="none" lIns="0" tIns="0" rIns="0" bIns="0">
                      <a:spAutoFit/>
                    </wps:bodyPr>
                  </wps:wsp>
                </a:graphicData>
              </a:graphic>
            </wp:anchor>
          </w:drawing>
        </mc:Choice>
        <mc:Fallback>
          <w:pict>
            <v:shape id="_x0000_s1049" type="#_x0000_t202" style="position:absolute;margin-left:56.700000000000003pt;margin-top:788.20000000000005pt;width:49.450000000000003pt;height:10.1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lang w:val="ru-RU" w:eastAsia="ru-RU"/>
                      </w:rPr>
                      <w:t>2026-3141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3890010</wp:posOffset>
              </wp:positionH>
              <wp:positionV relativeFrom="page">
                <wp:posOffset>256540</wp:posOffset>
              </wp:positionV>
              <wp:extent cx="130810" cy="69850"/>
              <wp:wrapNone/>
              <wp:docPr id="9" name="Shape 9"/>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30000000000001pt;margin-top:20.199999999999999pt;width:10.300000000000001pt;height:5.5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3890010</wp:posOffset>
              </wp:positionH>
              <wp:positionV relativeFrom="page">
                <wp:posOffset>256540</wp:posOffset>
              </wp:positionV>
              <wp:extent cx="146050" cy="88265"/>
              <wp:wrapNone/>
              <wp:docPr id="13" name="Shape 13"/>
              <a:graphic xmlns:a="http://schemas.openxmlformats.org/drawingml/2006/main">
                <a:graphicData uri="http://schemas.microsoft.com/office/word/2010/wordprocessingShape">
                  <wps:wsp>
                    <wps:cNvSpPr txBox="1"/>
                    <wps:spPr>
                      <a:xfrm>
                        <a:ext cx="14605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30000000000001pt;margin-top:20.199999999999999pt;width:11.5pt;height:6.9500000000000002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3890010</wp:posOffset>
              </wp:positionH>
              <wp:positionV relativeFrom="page">
                <wp:posOffset>256540</wp:posOffset>
              </wp:positionV>
              <wp:extent cx="130810" cy="69850"/>
              <wp:wrapNone/>
              <wp:docPr id="15" name="Shape 15"/>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6.30000000000001pt;margin-top:20.199999999999999pt;width:10.300000000000001pt;height:5.5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3890010</wp:posOffset>
              </wp:positionH>
              <wp:positionV relativeFrom="page">
                <wp:posOffset>256540</wp:posOffset>
              </wp:positionV>
              <wp:extent cx="146050" cy="88265"/>
              <wp:wrapNone/>
              <wp:docPr id="19" name="Shape 19"/>
              <a:graphic xmlns:a="http://schemas.openxmlformats.org/drawingml/2006/main">
                <a:graphicData uri="http://schemas.microsoft.com/office/word/2010/wordprocessingShape">
                  <wps:wsp>
                    <wps:cNvSpPr txBox="1"/>
                    <wps:spPr>
                      <a:xfrm>
                        <a:ext cx="14605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5" type="#_x0000_t202" style="position:absolute;margin-left:306.30000000000001pt;margin-top:20.199999999999999pt;width:11.5pt;height:6.9500000000000002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3890010</wp:posOffset>
              </wp:positionH>
              <wp:positionV relativeFrom="page">
                <wp:posOffset>256540</wp:posOffset>
              </wp:positionV>
              <wp:extent cx="130810" cy="69850"/>
              <wp:wrapNone/>
              <wp:docPr id="21" name="Shape 21"/>
              <a:graphic xmlns:a="http://schemas.openxmlformats.org/drawingml/2006/main">
                <a:graphicData uri="http://schemas.microsoft.com/office/word/2010/wordprocessingShape">
                  <wps:wsp>
                    <wps:cNvSpPr txBox="1"/>
                    <wps:spPr>
                      <a:xfrm>
                        <a:ext cx="130810"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30000000000001pt;margin-top:20.199999999999999pt;width:10.300000000000001pt;height:5.5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6">
    <w:multiLevelType w:val="multilevel"/>
    <w:lvl w:ilvl="0">
      <w:start w:val="2"/>
      <w:numFmt w:val="decimal"/>
      <w:lvlText w:val="%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en-US" w:eastAsia="en-US"/>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Heading #1_"/>
    <w:basedOn w:val="DefaultParagraphFont"/>
    <w:link w:val="Style19"/>
    <w:rPr>
      <w:rFonts w:ascii="Arial" w:eastAsia="Arial" w:hAnsi="Arial" w:cs="Arial"/>
      <w:b w:val="0"/>
      <w:bCs w:val="0"/>
      <w:i w:val="0"/>
      <w:iCs w:val="0"/>
      <w:smallCaps w:val="0"/>
      <w:strike w:val="0"/>
      <w:sz w:val="34"/>
      <w:szCs w:val="34"/>
      <w:u w:val="none"/>
      <w:lang w:val="en-US" w:eastAsia="en-US"/>
    </w:rPr>
  </w:style>
  <w:style w:type="character" w:customStyle="1" w:styleId="CharStyle23">
    <w:name w:val="Picture caption_"/>
    <w:basedOn w:val="DefaultParagraphFont"/>
    <w:link w:val="Style22"/>
    <w:rPr>
      <w:rFonts w:ascii="Times New Roman" w:eastAsia="Times New Roman" w:hAnsi="Times New Roman" w:cs="Times New Roman"/>
      <w:b w:val="0"/>
      <w:bCs w:val="0"/>
      <w:i w:val="0"/>
      <w:iCs w:val="0"/>
      <w:smallCaps w:val="0"/>
      <w:strike w:val="0"/>
      <w:color w:val="2C2C2C"/>
      <w:sz w:val="10"/>
      <w:szCs w:val="10"/>
      <w:u w:val="none"/>
    </w:rPr>
  </w:style>
  <w:style w:type="character" w:customStyle="1" w:styleId="CharStyle26">
    <w:name w:val="Body text (5)_"/>
    <w:basedOn w:val="DefaultParagraphFont"/>
    <w:link w:val="Style25"/>
    <w:rPr>
      <w:rFonts w:ascii="Times New Roman" w:eastAsia="Times New Roman" w:hAnsi="Times New Roman" w:cs="Times New Roman"/>
      <w:b w:val="0"/>
      <w:bCs w:val="0"/>
      <w:i w:val="0"/>
      <w:iCs w:val="0"/>
      <w:smallCaps w:val="0"/>
      <w:strike w:val="0"/>
      <w:color w:val="E2E2E2"/>
      <w:sz w:val="11"/>
      <w:szCs w:val="11"/>
      <w:u w:val="none"/>
    </w:rPr>
  </w:style>
  <w:style w:type="character" w:customStyle="1" w:styleId="CharStyle28">
    <w:name w:val="Body text (2)_"/>
    <w:basedOn w:val="DefaultParagraphFont"/>
    <w:link w:val="Style27"/>
    <w:rPr>
      <w:rFonts w:ascii="Arial" w:eastAsia="Arial" w:hAnsi="Arial" w:cs="Arial"/>
      <w:b w:val="0"/>
      <w:bCs w:val="0"/>
      <w:i w:val="0"/>
      <w:iCs w:val="0"/>
      <w:smallCaps w:val="0"/>
      <w:strike w:val="0"/>
      <w:color w:val="4F4F4F"/>
      <w:sz w:val="10"/>
      <w:szCs w:val="10"/>
      <w:u w:val="none"/>
    </w:rPr>
  </w:style>
  <w:style w:type="paragraph" w:customStyle="1" w:styleId="Style2">
    <w:name w:val="Body text (3)"/>
    <w:basedOn w:val="Normal"/>
    <w:link w:val="CharStyle3"/>
    <w:pPr>
      <w:widowControl w:val="0"/>
      <w:shd w:val="clear" w:color="auto" w:fill="auto"/>
      <w:spacing w:after="130" w:line="276"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8">
    <w:name w:val="Body text (4)"/>
    <w:basedOn w:val="Normal"/>
    <w:link w:val="CharStyle9"/>
    <w:pPr>
      <w:widowControl w:val="0"/>
      <w:shd w:val="clear" w:color="auto" w:fill="auto"/>
      <w:spacing w:after="240" w:line="257" w:lineRule="auto"/>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0">
    <w:name w:val="Heading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Heading #1"/>
    <w:basedOn w:val="Normal"/>
    <w:link w:val="CharStyle20"/>
    <w:pPr>
      <w:widowControl w:val="0"/>
      <w:shd w:val="clear" w:color="auto" w:fill="auto"/>
      <w:spacing w:after="26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2">
    <w:name w:val="Picture caption"/>
    <w:basedOn w:val="Normal"/>
    <w:link w:val="CharStyle23"/>
    <w:pPr>
      <w:widowControl w:val="0"/>
      <w:shd w:val="clear" w:color="auto" w:fill="auto"/>
      <w:spacing w:line="230" w:lineRule="auto"/>
    </w:pPr>
    <w:rPr>
      <w:rFonts w:ascii="Times New Roman" w:eastAsia="Times New Roman" w:hAnsi="Times New Roman" w:cs="Times New Roman"/>
      <w:b w:val="0"/>
      <w:bCs w:val="0"/>
      <w:i w:val="0"/>
      <w:iCs w:val="0"/>
      <w:smallCaps w:val="0"/>
      <w:strike w:val="0"/>
      <w:color w:val="2C2C2C"/>
      <w:sz w:val="10"/>
      <w:szCs w:val="10"/>
      <w:u w:val="none"/>
    </w:rPr>
  </w:style>
  <w:style w:type="paragraph" w:customStyle="1" w:styleId="Style25">
    <w:name w:val="Body text (5)"/>
    <w:basedOn w:val="Normal"/>
    <w:link w:val="CharStyle26"/>
    <w:pPr>
      <w:widowControl w:val="0"/>
      <w:shd w:val="clear" w:color="auto" w:fill="auto"/>
      <w:spacing w:after="80"/>
      <w:ind w:left="4660"/>
    </w:pPr>
    <w:rPr>
      <w:rFonts w:ascii="Times New Roman" w:eastAsia="Times New Roman" w:hAnsi="Times New Roman" w:cs="Times New Roman"/>
      <w:b w:val="0"/>
      <w:bCs w:val="0"/>
      <w:i w:val="0"/>
      <w:iCs w:val="0"/>
      <w:smallCaps w:val="0"/>
      <w:strike w:val="0"/>
      <w:color w:val="E2E2E2"/>
      <w:sz w:val="11"/>
      <w:szCs w:val="11"/>
      <w:u w:val="none"/>
    </w:rPr>
  </w:style>
  <w:style w:type="paragraph" w:customStyle="1" w:styleId="Style27">
    <w:name w:val="Body text (2)"/>
    <w:basedOn w:val="Normal"/>
    <w:link w:val="CharStyle28"/>
    <w:pPr>
      <w:widowControl w:val="0"/>
      <w:shd w:val="clear" w:color="auto" w:fill="auto"/>
      <w:ind w:left="4020"/>
    </w:pPr>
    <w:rPr>
      <w:rFonts w:ascii="Arial" w:eastAsia="Arial" w:hAnsi="Arial" w:cs="Arial"/>
      <w:b w:val="0"/>
      <w:bCs w:val="0"/>
      <w:i w:val="0"/>
      <w:iCs w:val="0"/>
      <w:smallCaps w:val="0"/>
      <w:strike w:val="0"/>
      <w:color w:val="4F4F4F"/>
      <w:sz w:val="10"/>
      <w:szCs w:val="1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header" Target="header1.xml"/><Relationship Id="rId9" Type="http://schemas.openxmlformats.org/officeDocument/2006/relationships/footer" Target="footer2.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header" Target="header3.xml"/><Relationship Id="rId13" Type="http://schemas.openxmlformats.org/officeDocument/2006/relationships/footer" Target="footer4.xml"/><Relationship Id="rId14" Type="http://schemas.openxmlformats.org/officeDocument/2006/relationships/header" Target="header4.xml"/><Relationship Id="rId15" Type="http://schemas.openxmlformats.org/officeDocument/2006/relationships/footer" Target="footer5.xml"/><Relationship Id="rId16" Type="http://schemas.openxmlformats.org/officeDocument/2006/relationships/header" Target="header5.xml"/><Relationship Id="rId17" Type="http://schemas.openxmlformats.org/officeDocument/2006/relationships/footer" Target="footer6.xml"/><Relationship Id="rId18" Type="http://schemas.openxmlformats.org/officeDocument/2006/relationships/image" Target="media/image2.jpeg"/><Relationship Id="rId19" Type="http://schemas.openxmlformats.org/officeDocument/2006/relationships/image" Target="media/image2.jpeg" TargetMode="External"/><Relationship Id="rId20" Type="http://schemas.openxmlformats.org/officeDocument/2006/relationships/image" Target="media/image3.jpeg"/><Relationship Id="rId21" Type="http://schemas.openxmlformats.org/officeDocument/2006/relationships/image" Target="media/image3.jpeg" TargetMode="External"/><Relationship Id="rId22" Type="http://schemas.openxmlformats.org/officeDocument/2006/relationships/image" Target="media/image4.jpeg"/><Relationship Id="rId23" Type="http://schemas.openxmlformats.org/officeDocument/2006/relationships/image" Target="media/image4.jpeg" TargetMode="External"/></Relationships>
</file>

<file path=docProps/core.xml><?xml version="1.0" encoding="utf-8"?>
<cp:coreProperties xmlns:cp="http://schemas.openxmlformats.org/package/2006/metadata/core-properties" xmlns:dc="http://purl.org/dc/elements/1.1/">
  <dc:title>Приказ Минздрава России от 11.04.2025 N 181н"Об утверждении требований к содержанию технической и эксплуатационной документации производителя (изготовителя) медицинского изделия"(Зарегистрировано в Минюсте России 30.05.2025 N 82421)</dc:title>
  <dc:subject/>
  <dc:creator/>
  <cp:keywords/>
</cp:coreProperties>
</file>