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Курской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8"/>
        </w:rPr>
        <w:t>ул. Марата, 9, г. Курск, 305000</w:t>
        <w:br/>
        <w:t>тел. (4712) 70-08-15, факс (4712) 70-87-02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8"/>
          <w:lang w:val="en-US" w:eastAsia="en-US"/>
        </w:rPr>
        <w:t>to46@fas.gov.ru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5.05.2026</w:t>
        <w:tab/>
      </w:r>
      <w:r>
        <w:fldChar w:fldCharType="end"/>
      </w:r>
      <w:r>
        <w:rPr>
          <w:rStyle w:val="CharStyle13"/>
        </w:rPr>
        <w:t>№ Т</w:t>
      </w:r>
      <w:r>
        <w:rPr>
          <w:rStyle w:val="CharStyle13"/>
          <w:u w:val="single"/>
        </w:rPr>
        <w:t>Ч/1448/26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И.о. директора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ОКУ «УКС Курской области» Пронскому А.В.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305000, Курская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г Курск, ул Дзержинского, зд. 9а </w:t>
      </w:r>
      <w:r>
        <w:fldChar w:fldCharType="begin"/>
      </w:r>
      <w:r>
        <w:rPr/>
        <w:instrText> HYPERLINK "mailto:okuuks@mail.ru" </w:instrText>
      </w:r>
      <w:r>
        <w:fldChar w:fldCharType="separate"/>
      </w:r>
      <w:r>
        <w:rPr>
          <w:rStyle w:val="CharStyle17"/>
          <w:lang w:val="en-US" w:eastAsia="en-US"/>
        </w:rPr>
        <w:t>okuuks@mail.ru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Генеральному директору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«Мед ЛТО»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1582" w:bottom="1313" w:left="1135" w:header="0" w:footer="3" w:gutter="0"/>
          <w:pgNumType w:start="1"/>
          <w:cols w:num="2" w:space="1059"/>
          <w:noEndnote/>
          <w:titlePg/>
          <w:rtlGutter w:val="0"/>
          <w:docGrid w:linePitch="360"/>
        </w:sectPr>
      </w:pPr>
      <w:r>
        <w:rPr>
          <w:rStyle w:val="CharStyle17"/>
        </w:rPr>
        <w:t>Терешкиной Е.А.</w:t>
      </w:r>
    </w:p>
    <w:p>
      <w:pPr>
        <w:widowControl w:val="0"/>
        <w:spacing w:line="133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0" w:bottom="8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rStyle w:val="CharStyle17"/>
        </w:rPr>
        <w:t>117105, Г.МОСКВА, вн.тер.г.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rStyle w:val="CharStyle17"/>
        </w:rPr>
        <w:t>МУНИЦИПАЛЬНЫЙ ОКРУГ ДОНСКОЙ, 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rStyle w:val="CharStyle17"/>
        </w:rPr>
        <w:t>ВАРШАВСКОЕ, Д. 11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00" w:right="0" w:firstLine="0"/>
        <w:jc w:val="left"/>
      </w:pPr>
      <w:r>
        <w:fldChar w:fldCharType="begin"/>
      </w:r>
      <w:r>
        <w:rPr/>
        <w:instrText> HYPERLINK "mailto:medlto1@mail.ru" </w:instrText>
      </w:r>
      <w:r>
        <w:fldChar w:fldCharType="separate"/>
      </w:r>
      <w:r>
        <w:rPr>
          <w:rStyle w:val="CharStyle17"/>
          <w:lang w:val="en-US" w:eastAsia="en-US"/>
        </w:rPr>
        <w:t>medlto1@mail.ru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rStyle w:val="CharStyle17"/>
        </w:rPr>
        <w:t>Оператору электронной площадки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00" w:right="0" w:firstLine="0"/>
        <w:jc w:val="left"/>
      </w:pPr>
      <w:r>
        <w:rPr>
          <w:rStyle w:val="CharStyle17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0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775970</wp:posOffset>
                </wp:positionH>
                <wp:positionV relativeFrom="paragraph">
                  <wp:posOffset>863600</wp:posOffset>
                </wp:positionV>
                <wp:extent cx="3157855" cy="39306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785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Резолютивная часть объявлена 29 апреля 2026 г.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Изготовлено в полном объеме 04 мая 2026 г.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1.100000000000001pt;margin-top:68.pt;width:248.65000000000001pt;height:30.94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Резолютивная часть объявлена 29 апреля 2026 г.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Изготовлено в полном объеме 04 мая 2026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  <w:b/>
          <w:bCs/>
        </w:rPr>
        <w:t>Р Е Ш Е Н И Е</w:t>
        <w:br/>
        <w:t>по делу №046/06/105-182/2026</w:t>
        <w:br/>
        <w:t>Комиссии Управления Федеральной антимонопольной службы</w:t>
        <w:br/>
        <w:t>по Курской области</w:t>
      </w:r>
    </w:p>
    <w:p>
      <w:pPr>
        <w:widowControl w:val="0"/>
        <w:spacing w:line="1" w:lineRule="exact"/>
      </w:pPr>
      <w:r>
        <w:drawing>
          <wp:anchor distT="177800" distB="0" distL="0" distR="0" simplePos="0" relativeHeight="125829380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177800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tbl>
      <w:tblPr>
        <w:tblOverlap w:val="never"/>
        <w:jc w:val="left"/>
        <w:tblLayout w:type="fixed"/>
      </w:tblPr>
      <w:tblGrid>
        <w:gridCol w:w="4464"/>
        <w:gridCol w:w="2861"/>
        <w:gridCol w:w="2726"/>
      </w:tblGrid>
      <w:tr>
        <w:trPr>
          <w:trHeight w:val="51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(далее – 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Рагулина Т.Ю.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председатель Комиссии,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10051" w:h="1968" w:vSpace="715" w:wrap="notBeside" w:vAnchor="text" w:hAnchor="text" w:x="114" w:y="716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Авдеева А.С.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член Комиссии,</w:t>
            </w:r>
          </w:p>
        </w:tc>
      </w:tr>
      <w:tr>
        <w:trPr>
          <w:trHeight w:val="68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10051" w:h="1968" w:vSpace="715" w:wrap="notBeside" w:vAnchor="text" w:hAnchor="text" w:x="114" w:y="716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Ченцова А.И.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член Комиссии,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framePr w:w="10051" w:h="1968" w:vSpace="715" w:wrap="notBeside" w:vAnchor="text" w:hAnchor="text" w:x="114" w:y="7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Общество с ограниченной ответственностью «Мед</w:t>
            </w:r>
          </w:p>
        </w:tc>
      </w:tr>
    </w:tbl>
    <w:p>
      <w:pPr>
        <w:pStyle w:val="Style24"/>
        <w:keepNext w:val="0"/>
        <w:keepLines w:val="0"/>
        <w:framePr w:w="845" w:h="346" w:hSpace="113" w:wrap="notBeside" w:vAnchor="text" w:hAnchor="text" w:x="923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5"/>
        </w:rPr>
        <w:t>г. Курск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464"/>
        <w:gridCol w:w="5587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ЛТО»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Ф.И.О. участвующего (-их) в заседании представителя (-ей) заявителя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Терешкина Е.А. (личность удостоверена)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Заказчик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Областное казенное учреждение «Управление капитального строительства Курской области» (далее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22"/>
                <w:sz w:val="24"/>
                <w:szCs w:val="24"/>
              </w:rPr>
              <w:t>ОКУ «УКС Курской области»)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Ф.И.О. участвующего (-их) в заседании представителя (-ей)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Гридина О.Н. (по доверенности, личность удостоверена)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Электронный аукцион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Закупка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>0844200000326000018</w:t>
            </w:r>
          </w:p>
        </w:tc>
      </w:tr>
      <w:tr>
        <w:trPr>
          <w:trHeight w:val="27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Поставка медицинского оборудования для оснащения фельдшерско-акушерских пунктов, отделений общей врачебной практики и врачебной амбулатории на территории Поныровского, Щигровского, Черемисиновского, Пристенского, Тимского, Золотухинского, Обоянского районах Курской области (в рамках капитального строительства объектов), включая доставку, установку на проектное место, ввод в эксплуатацию, гарантийное обслуживание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622" w:val="left"/>
                <w:tab w:pos="3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Начальная</w:t>
              <w:tab/>
              <w:t>(максимальная)</w:t>
              <w:tab/>
              <w:t>цена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5 747 574 </w:t>
            </w:r>
            <w:r>
              <w:rPr>
                <w:rStyle w:val="CharStyle22"/>
                <w:sz w:val="24"/>
                <w:szCs w:val="24"/>
              </w:rPr>
              <w:t>руб.00 коп.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Дата размещения извещения об осуществлении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>08.04.2026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>-</w:t>
            </w: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 xml:space="preserve">Разъяснение (-я) положений извещения об осуществлении закупки, размещенные в единой информационной системе (далее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– </w:t>
            </w:r>
            <w:r>
              <w:rPr>
                <w:rStyle w:val="CharStyle22"/>
                <w:sz w:val="24"/>
                <w:szCs w:val="24"/>
              </w:rPr>
              <w:t>ЕИС)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>16.04.2026</w:t>
            </w: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7 </w:t>
            </w:r>
            <w:r>
              <w:rPr>
                <w:rStyle w:val="CharStyle22"/>
                <w:sz w:val="24"/>
                <w:szCs w:val="24"/>
              </w:rPr>
              <w:t xml:space="preserve">(семь), идентификационные номера заявок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>121018920, 121034003, 121032527, 121034676, 121007732, 121034336, 121027123</w:t>
            </w:r>
          </w:p>
        </w:tc>
      </w:tr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6 </w:t>
            </w:r>
            <w:r>
              <w:rPr>
                <w:rStyle w:val="CharStyle22"/>
                <w:sz w:val="24"/>
                <w:szCs w:val="24"/>
              </w:rPr>
              <w:t xml:space="preserve">(шесть), идентификационные номера заявок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>121034003, 121032527, 121034676, 121007732, 121034336, 121027123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Количество заявок, в отношении которых принято решение об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2"/>
                <w:sz w:val="24"/>
                <w:szCs w:val="24"/>
              </w:rPr>
              <w:t xml:space="preserve">(одна), идентификационный номер заявки </w:t>
            </w:r>
            <w:r>
              <w:rPr>
                <w:rStyle w:val="CharStyle22"/>
                <w:sz w:val="24"/>
                <w:szCs w:val="24"/>
                <w:lang w:val="en-US" w:eastAsia="en-US"/>
              </w:rPr>
              <w:t>121018920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Контракт не заключен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2"/>
                <w:sz w:val="24"/>
                <w:szCs w:val="24"/>
              </w:rPr>
              <w:t>Продолжительная и активная жизнь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7"/>
        </w:rPr>
        <w:t xml:space="preserve">Заседание проведено комплексно: очно и дистанционно, с использованием средств видео-конференц-связи по ссылке </w:t>
      </w:r>
      <w:r>
        <w:fldChar w:fldCharType="begin"/>
      </w:r>
      <w:r>
        <w:rPr/>
        <w:instrText> HYPERLINK "https://fas1.trueconf.ru/c/9812557473" </w:instrText>
      </w:r>
      <w:r>
        <w:fldChar w:fldCharType="separate"/>
      </w:r>
      <w:r>
        <w:rPr>
          <w:rStyle w:val="CharStyle17"/>
          <w:lang w:val="en-US" w:eastAsia="en-US"/>
        </w:rPr>
        <w:t>https://fas1.trueconf.ru/c/9812557473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rPr>
          <w:rStyle w:val="CharStyle17"/>
        </w:rPr>
        <w:t>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7"/>
        </w:rPr>
        <w:t>заседании велась аудиозапись.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Довод (-ы) жалобы: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17"/>
        </w:rPr>
        <w:t xml:space="preserve">По мнению заявителя комиссия по осуществлению закупок в нарушение требований 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 xml:space="preserve">г.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ФЗ «О контрактной </w:t>
      </w:r>
      <w:r>
        <w:rPr>
          <w:rStyle w:val="CharStyle17"/>
          <w:lang w:val="en-US" w:eastAsia="en-US"/>
        </w:rPr>
        <w:t xml:space="preserve">системе…») </w:t>
      </w:r>
      <w:r>
        <w:rPr>
          <w:rStyle w:val="CharStyle17"/>
        </w:rPr>
        <w:t>приняла решение о соответствии заявки победителя.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представитель заказчика возражал против доводов жалобы, указал, что действия комиссии по осуществлению закупки не противоречат требованиям ФЗ «О контрактной системе</w:t>
      </w:r>
      <w:r>
        <w:rPr>
          <w:rStyle w:val="CharStyle17"/>
          <w:lang w:val="en-US" w:eastAsia="en-US"/>
        </w:rPr>
        <w:t>...»;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600" w:line="240" w:lineRule="auto"/>
        <w:ind w:left="0" w:right="0" w:firstLine="720"/>
        <w:jc w:val="both"/>
      </w:pPr>
      <w:r>
        <w:rPr>
          <w:rStyle w:val="CharStyle17"/>
        </w:rPr>
        <w:t>представитель заявителя поддержал доводы жалобы в полном объеме.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По результатам проведенной на основании ч.15 ст.99, ст.106 Федерального закона от 05.04.2013г. №44-ФЗ «О контрактной системе в сфере закупок товаров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ФЗ «О контрактной системе</w:t>
      </w:r>
      <w:r>
        <w:rPr>
          <w:rStyle w:val="CharStyle17"/>
          <w:lang w:val="en-US" w:eastAsia="en-US"/>
        </w:rPr>
        <w:t xml:space="preserve">...»), </w:t>
      </w:r>
      <w:r>
        <w:rPr>
          <w:rStyle w:val="CharStyle17"/>
        </w:rPr>
        <w:t xml:space="preserve">Постановления Правительства РФ от </w:t>
      </w:r>
      <w:r>
        <w:rPr>
          <w:rStyle w:val="CharStyle17"/>
          <w:lang w:val="en-US" w:eastAsia="en-US"/>
        </w:rPr>
        <w:t xml:space="preserve">01.10.2020 №1576 </w:t>
      </w:r>
      <w:r>
        <w:rPr>
          <w:rStyle w:val="CharStyle17"/>
        </w:rPr>
        <w:t>«Об утверждении Правил осуществления контроля в сфере закупок товаров, работ услуг в отношении заказчиков, контрактных служб, контрактных управляющих комиссий по осуществлению закупок товаров, работ, услуг и их членов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17"/>
        </w:rPr>
        <w:t>ВЭБ.РФ</w:t>
      </w:r>
      <w:r>
        <w:rPr>
          <w:rStyle w:val="CharStyle17"/>
        </w:rPr>
        <w:t>"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</w:rPr>
        <w:t>У С Т А Н О В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Порядок проведения электронного аукциона определен статьей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ФЗ «О контрактной </w:t>
      </w:r>
      <w:r>
        <w:rPr>
          <w:rStyle w:val="CharStyle17"/>
          <w:lang w:val="en-US" w:eastAsia="en-US"/>
        </w:rPr>
        <w:t>системе…».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ч.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ФЗ «О контрактной </w:t>
      </w:r>
      <w:r>
        <w:rPr>
          <w:rStyle w:val="CharStyle17"/>
          <w:lang w:val="en-US" w:eastAsia="en-US"/>
        </w:rPr>
        <w:t xml:space="preserve">системе…» </w:t>
      </w:r>
      <w:r>
        <w:rPr>
          <w:rStyle w:val="CharStyle17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8" w:val="left"/>
        </w:tabs>
        <w:bidi w:val="0"/>
        <w:spacing w:before="0" w:after="480" w:line="240" w:lineRule="auto"/>
        <w:ind w:left="0" w:right="0" w:firstLine="720"/>
        <w:jc w:val="both"/>
      </w:pPr>
      <w:r>
        <w:rPr>
          <w:rStyle w:val="CharStyle17"/>
        </w:rPr>
        <w:t>члены комиссии по осуществлению закупок: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рассматривают заявки на участие в закупке, информацию и документы направленные оператором электронной площадки в соответствии с п.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</w:t>
      </w:r>
      <w:r>
        <w:rPr>
          <w:rStyle w:val="CharStyle17"/>
          <w:lang w:val="en-US" w:eastAsia="en-US"/>
        </w:rPr>
        <w:t xml:space="preserve">1 - 8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 подавшего такую заявку (за исключением случая, предусмотренного п.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настоящей статьи,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п.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п.п. </w:t>
      </w:r>
      <w:r>
        <w:rPr>
          <w:rStyle w:val="CharStyle17"/>
          <w:lang w:val="en-US" w:eastAsia="en-US"/>
        </w:rPr>
        <w:t xml:space="preserve">1, 2, 4 - 7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Так, в соответствии с ч.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 xml:space="preserve">ФЗ «О контрактной </w:t>
      </w:r>
      <w:r>
        <w:rPr>
          <w:rStyle w:val="CharStyle17"/>
          <w:lang w:val="en-US" w:eastAsia="en-US"/>
        </w:rPr>
        <w:t xml:space="preserve">системе…» </w:t>
      </w:r>
      <w:r>
        <w:rPr>
          <w:rStyle w:val="CharStyle17"/>
        </w:rPr>
        <w:t>протокол подведения итогов определения поставщика (подрядчика, исполнителя) должен содержать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дату подведения итогов определения поставщика (подрядчика исполнителя), идентификационные номера заявок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 которым не соответствует такая заявка, положений заявки на участие в закупке которые не соответствуют извещению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порядковые номера, присвоенные в соответствии с настоящим Федеральным законом заявкам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о заключении контракта по цене, увеличенной в соответствии со статьями </w:t>
      </w:r>
      <w:r>
        <w:rPr>
          <w:rStyle w:val="CharStyle17"/>
          <w:lang w:val="en-US" w:eastAsia="en-US"/>
        </w:rPr>
        <w:t xml:space="preserve">28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29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 решении каждого члена комиссии по осуществлению закупок в отношении каждой заявки на участие в закупке.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о признании определения поставщика (подрядчика, исполнителя) несостоявшимся в случаях, предусмотренных пунктами </w:t>
      </w:r>
      <w:r>
        <w:rPr>
          <w:rStyle w:val="CharStyle17"/>
          <w:lang w:val="en-US" w:eastAsia="en-US"/>
        </w:rPr>
        <w:t xml:space="preserve">1 - 4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52 </w:t>
      </w:r>
      <w:r>
        <w:rPr>
          <w:rStyle w:val="CharStyle17"/>
        </w:rPr>
        <w:t>настоящего Федерального закона. Заказчик в случаях, предусмотренных ФЗ «О контрактной системе</w:t>
      </w:r>
      <w:r>
        <w:rPr>
          <w:rStyle w:val="CharStyle17"/>
          <w:lang w:val="en-US" w:eastAsia="en-US"/>
        </w:rPr>
        <w:t xml:space="preserve">...», </w:t>
      </w:r>
      <w:r>
        <w:rPr>
          <w:rStyle w:val="CharStyle17"/>
        </w:rPr>
        <w:t>при описании объекта закупки должен руководствоваться Правилами описания объекта закупки, предусмотренными ч.1 ст.33 ФЗ «О контрактной системе</w:t>
      </w:r>
      <w:r>
        <w:rPr>
          <w:rStyle w:val="CharStyle17"/>
          <w:lang w:val="en-US" w:eastAsia="en-US"/>
        </w:rPr>
        <w:t>...».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7"/>
        </w:rPr>
        <w:t xml:space="preserve">Согласно протоколу подведения итогов от </w:t>
      </w:r>
      <w:r>
        <w:rPr>
          <w:rStyle w:val="CharStyle17"/>
          <w:lang w:val="en-US" w:eastAsia="en-US"/>
        </w:rPr>
        <w:t xml:space="preserve">17.04.2026 </w:t>
      </w:r>
      <w:r>
        <w:rPr>
          <w:rStyle w:val="CharStyle17"/>
        </w:rPr>
        <w:t xml:space="preserve">комиссией по осуществлению закупок принято решение о соответствии заявок с идентификационными номерами </w:t>
      </w:r>
      <w:r>
        <w:rPr>
          <w:rStyle w:val="CharStyle17"/>
          <w:lang w:val="en-US" w:eastAsia="en-US"/>
        </w:rPr>
        <w:t xml:space="preserve">121034003, 121032527, 121034676, 121007732 121034336, 121027123 </w:t>
      </w:r>
      <w:r>
        <w:rPr>
          <w:rStyle w:val="CharStyle17"/>
        </w:rPr>
        <w:t xml:space="preserve">требованиям извещения об осуществлении закупки, в отношении заявки с идентификационным номером </w:t>
      </w:r>
      <w:r>
        <w:rPr>
          <w:rStyle w:val="CharStyle17"/>
          <w:lang w:val="en-US" w:eastAsia="en-US"/>
        </w:rPr>
        <w:t xml:space="preserve">121018920 </w:t>
      </w:r>
      <w:r>
        <w:rPr>
          <w:rStyle w:val="CharStyle17"/>
        </w:rPr>
        <w:t>принято решение об отклонении ввиду применения ст.14 ФЗ «О контрактной системе</w:t>
      </w:r>
      <w:r>
        <w:rPr>
          <w:rStyle w:val="CharStyle17"/>
          <w:lang w:val="en-US" w:eastAsia="en-US"/>
        </w:rPr>
        <w:t>...».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По мнению заявителя, заявка победителя подлежала отклонению ввиду следующего несоответствия </w:t>
      </w:r>
      <w:r>
        <w:rPr>
          <w:rStyle w:val="CharStyle17"/>
          <w:i/>
          <w:iCs/>
        </w:rPr>
        <w:t xml:space="preserve">«Победителем закупки предложен Стерилизатор паровой ГКа-25-ПЗ по ТУ </w:t>
      </w:r>
      <w:r>
        <w:rPr>
          <w:rStyle w:val="CharStyle17"/>
          <w:i/>
          <w:iCs/>
          <w:lang w:val="en-US" w:eastAsia="en-US"/>
        </w:rPr>
        <w:t xml:space="preserve">9451-015-41457390-2004 </w:t>
      </w:r>
      <w:r>
        <w:rPr>
          <w:rStyle w:val="CharStyle17"/>
          <w:i/>
          <w:iCs/>
        </w:rPr>
        <w:t xml:space="preserve">в варианте исполнения: Стерилизатор паровой ГКа-25-ПЗ по ТУ </w:t>
      </w:r>
      <w:r>
        <w:rPr>
          <w:rStyle w:val="CharStyle17"/>
          <w:i/>
          <w:iCs/>
          <w:lang w:val="en-US" w:eastAsia="en-US"/>
        </w:rPr>
        <w:t xml:space="preserve">9451-015-41457390-2004 </w:t>
      </w:r>
      <w:r>
        <w:rPr>
          <w:rStyle w:val="CharStyle17"/>
          <w:i/>
          <w:iCs/>
        </w:rPr>
        <w:t xml:space="preserve">КИУС.942711.004-07 </w:t>
      </w:r>
      <w:r>
        <w:rPr>
          <w:rStyle w:val="CharStyle17"/>
          <w:i/>
          <w:iCs/>
          <w:lang w:val="en-US" w:eastAsia="en-US"/>
        </w:rPr>
        <w:t xml:space="preserve">, </w:t>
      </w:r>
      <w:r>
        <w:rPr>
          <w:rStyle w:val="CharStyle17"/>
          <w:i/>
          <w:iCs/>
        </w:rPr>
        <w:t xml:space="preserve">который не выполняет функции </w:t>
      </w:r>
      <w:r>
        <w:rPr>
          <w:rStyle w:val="CharStyle17"/>
          <w:i/>
          <w:iCs/>
          <w:lang w:val="en-US" w:eastAsia="en-US"/>
        </w:rPr>
        <w:t xml:space="preserve">, </w:t>
      </w:r>
      <w:r>
        <w:rPr>
          <w:rStyle w:val="CharStyle17"/>
          <w:i/>
          <w:iCs/>
        </w:rPr>
        <w:t xml:space="preserve">соответствующий описанию, а именно данный стерилизатор соответствует классу </w:t>
      </w:r>
      <w:r>
        <w:rPr>
          <w:rStyle w:val="CharStyle17"/>
          <w:i/>
          <w:iCs/>
          <w:lang w:val="en-US" w:eastAsia="en-US"/>
        </w:rPr>
        <w:t xml:space="preserve">S </w:t>
      </w:r>
      <w:r>
        <w:rPr>
          <w:rStyle w:val="CharStyle17"/>
          <w:i/>
          <w:iCs/>
        </w:rPr>
        <w:t xml:space="preserve">(ГОСТ Р ЕН </w:t>
      </w:r>
      <w:r>
        <w:rPr>
          <w:rStyle w:val="CharStyle17"/>
          <w:i/>
          <w:iCs/>
          <w:lang w:val="en-US" w:eastAsia="en-US"/>
        </w:rPr>
        <w:t xml:space="preserve">13060), </w:t>
      </w:r>
      <w:r>
        <w:rPr>
          <w:rStyle w:val="CharStyle17"/>
          <w:i/>
          <w:iCs/>
        </w:rPr>
        <w:t>и обеспечивает стерилизацию только неупакованных твердых полнотелых и полых предметов типа В».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Как подтверждается материалами дела, заказчиком при описании объекта закупки применены позиции Каталога товаров, работ и услуг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КТРУ) </w:t>
      </w:r>
      <w:r>
        <w:rPr>
          <w:rStyle w:val="CharStyle17"/>
          <w:lang w:val="en-US" w:eastAsia="en-US"/>
        </w:rPr>
        <w:t xml:space="preserve">32.50.12.190-00000029 – </w:t>
      </w:r>
      <w:r>
        <w:rPr>
          <w:rStyle w:val="CharStyle17"/>
        </w:rPr>
        <w:t xml:space="preserve">Стерилизатор сухожаровой, </w:t>
      </w:r>
      <w:r>
        <w:rPr>
          <w:rStyle w:val="CharStyle17"/>
          <w:lang w:val="en-US" w:eastAsia="en-US"/>
        </w:rPr>
        <w:t xml:space="preserve">32.50.12.190-00000012 – </w:t>
      </w:r>
      <w:r>
        <w:rPr>
          <w:rStyle w:val="CharStyle17"/>
        </w:rPr>
        <w:t>Стерилизатор паровой.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информации официального сайта ЕИС, Заказчиком в описании объекта закупки, установлены обязательные и необязательные характеристики и их показатели, предусмотренные позициями КТРУ </w:t>
      </w:r>
      <w:r>
        <w:rPr>
          <w:rStyle w:val="CharStyle17"/>
          <w:lang w:val="en-US" w:eastAsia="en-US"/>
        </w:rPr>
        <w:t>32.50.12.190-00000029, 32.50.12.190</w:t>
        <w:softHyphen/>
        <w:t xml:space="preserve">00000012. </w:t>
      </w:r>
      <w:r>
        <w:rPr>
          <w:rStyle w:val="CharStyle17"/>
        </w:rPr>
        <w:t>Заказчиком не устанавливались требования к классу стерилизатора стерилизации упакованных/неупакованных изделий.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 соответствии с ч.6 ст.23 ФЗ «О контрактной системе</w:t>
      </w:r>
      <w:r>
        <w:rPr>
          <w:rStyle w:val="CharStyle17"/>
          <w:lang w:val="en-US" w:eastAsia="en-US"/>
        </w:rPr>
        <w:t xml:space="preserve">...» </w:t>
      </w:r>
      <w:r>
        <w:rPr>
          <w:rStyle w:val="CharStyle17"/>
        </w:rPr>
        <w:t>Порядок формирования и ведения в единой информационной системе каталога товаров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6" w:right="544" w:bottom="819" w:left="1080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Постановлением Правительства РФ от </w:t>
      </w:r>
      <w:r>
        <w:rPr>
          <w:rStyle w:val="CharStyle17"/>
          <w:lang w:val="en-US" w:eastAsia="en-US"/>
        </w:rPr>
        <w:t xml:space="preserve">08.02.2017 №145 </w:t>
      </w:r>
      <w:r>
        <w:rPr>
          <w:rStyle w:val="CharStyle17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Постановление Правительства РФ от </w:t>
      </w:r>
      <w:r>
        <w:rPr>
          <w:rStyle w:val="CharStyle17"/>
          <w:lang w:val="en-US" w:eastAsia="en-US"/>
        </w:rPr>
        <w:t xml:space="preserve">08.02.2017 №145) </w:t>
      </w:r>
      <w:r>
        <w:rPr>
          <w:rStyle w:val="CharStyle17"/>
        </w:rPr>
        <w:t>утверждены правила использования каталога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товаров, работ, услуг для обеспечения государственных и муниципальных нужд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Правила).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п.4 Правил Заказчики обязаны применять информацию, включенную в позицию каталога в соответствии с подпунктами "а"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"г" и "е"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"з" пункта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февраля </w:t>
      </w:r>
      <w:r>
        <w:rPr>
          <w:rStyle w:val="CharStyle17"/>
          <w:lang w:val="en-US" w:eastAsia="en-US"/>
        </w:rPr>
        <w:t xml:space="preserve">2017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№145, </w:t>
      </w:r>
      <w:r>
        <w:rPr>
          <w:rStyle w:val="CharStyle17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наименование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единицы измерения количества товара, объема выполняемой работы оказываемой услуги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описание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пп. «д» п.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Правил формирования КТРУ, утвержденных Постановлением Правительства РФ </w:t>
      </w:r>
      <w:r>
        <w:rPr>
          <w:rStyle w:val="CharStyle17"/>
          <w:lang w:val="en-US" w:eastAsia="en-US"/>
        </w:rPr>
        <w:t xml:space="preserve">№145 </w:t>
      </w:r>
      <w:r>
        <w:rPr>
          <w:rStyle w:val="CharStyle17"/>
        </w:rPr>
        <w:t>в позицию Каталога включается справочная информация: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информация о типовых условиях контрактов, подлежащих применению при закупке товара, работы, услуги (при наличии).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пп. «г» п.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Правил формирования КТРУ, утвержденных Постановлением Правительства РФ </w:t>
      </w:r>
      <w:r>
        <w:rPr>
          <w:rStyle w:val="CharStyle17"/>
          <w:lang w:val="en-US" w:eastAsia="en-US"/>
        </w:rPr>
        <w:t xml:space="preserve">№145 </w:t>
      </w:r>
      <w:r>
        <w:rPr>
          <w:rStyle w:val="CharStyle17"/>
        </w:rPr>
        <w:t xml:space="preserve">в позицию Каталога включается информация, содержащая описание товара, работы, услуги, если такое описание сформировано в соответствии с пунктом </w:t>
      </w:r>
      <w:r>
        <w:rPr>
          <w:rStyle w:val="CharStyle17"/>
          <w:lang w:val="en-US" w:eastAsia="en-US"/>
        </w:rPr>
        <w:t xml:space="preserve">13 </w:t>
      </w:r>
      <w:r>
        <w:rPr>
          <w:rStyle w:val="CharStyle17"/>
        </w:rPr>
        <w:t>настоящих Правил.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 этом справочная информация не образует описания товара, работы услуги в понимании 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ФЗ «О контрактной системе</w:t>
      </w:r>
      <w:r>
        <w:rPr>
          <w:rStyle w:val="CharStyle17"/>
          <w:lang w:val="en-US" w:eastAsia="en-US"/>
        </w:rPr>
        <w:t xml:space="preserve">...» </w:t>
      </w:r>
      <w:r>
        <w:rPr>
          <w:rStyle w:val="CharStyle17"/>
        </w:rPr>
        <w:t xml:space="preserve">и не включена в перечень информации, подлежащей в соответствии с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>Правил использования обязательному использованию заказчиком.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Таким образом, Заказчик при описании объекта закупки, а комиссия по осуществлению закупки при рассмотрении заявок на участие, не обязаны использовать информацию, которая в позиции каталога товаров, работ и услуг указана как справочная.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Оператором электронной площадки в материалы дела представлены заявки участников закупки в структурированной форме и приложенные к заявкам участников закупки электронные документы.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Курского УФАС России изучила заявки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807" w:left="1106" w:header="0" w:footer="379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Материалами дела подтверждается, что заявка участника закупки с идентификационным номером </w:t>
      </w:r>
      <w:r>
        <w:rPr>
          <w:rStyle w:val="CharStyle17"/>
          <w:lang w:val="en-US" w:eastAsia="en-US"/>
        </w:rPr>
        <w:t xml:space="preserve">121034003 </w:t>
      </w:r>
      <w:r>
        <w:rPr>
          <w:rStyle w:val="CharStyle17"/>
        </w:rPr>
        <w:t>(победитель) соответствует требованиям извещения об осуществлении закупки и ФЗ «О контрактной системе</w:t>
      </w:r>
      <w:r>
        <w:rPr>
          <w:rStyle w:val="CharStyle17"/>
          <w:lang w:val="en-US" w:eastAsia="en-US"/>
        </w:rPr>
        <w:t xml:space="preserve">...» </w:t>
      </w:r>
      <w:r>
        <w:rPr>
          <w:rStyle w:val="CharStyle17"/>
        </w:rPr>
        <w:t xml:space="preserve">характеристики предлагаемого к поставке товара соответствуют характеристикам и показателям, определенным заказчиком в описании объекта закупки. В этой связи </w:t>
      </w:r>
      <w:r>
        <w:rPr>
          <w:rStyle w:val="CharStyle17"/>
          <w:sz w:val="24"/>
          <w:szCs w:val="24"/>
          <w:lang w:val="en-US" w:eastAsia="en-US"/>
        </w:rPr>
        <w:t>2026-1774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7"/>
        </w:rPr>
        <w:t>комиссией по осуществлению закупки правомерно принято решение о соответствии заявки победителя.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rStyle w:val="CharStyle17"/>
        </w:rPr>
        <w:t>Оценив в совокупности, всесторонне и взаимосвязи обстоятельства дела документы и сведения, предоставленные сторонами в материалы дела, Комиссия приходит к выводу, что довод заявителя не нашел своего подтверждения материалами дела и признан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результатов проведения внеплановой проверки определения поставщика (подрядчика, исполнителя), материалов, имеющихся в деле руководствуясь ст.99, ст.106 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>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Признать жалобу общества с ограниченной ответственностью «Мед ЛТО»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42" w:val="left"/>
        </w:tabs>
        <w:bidi w:val="0"/>
        <w:spacing w:before="0" w:after="280" w:line="240" w:lineRule="auto"/>
        <w:ind w:left="0" w:right="0" w:firstLine="720"/>
        <w:jc w:val="left"/>
      </w:pPr>
      <w:r>
        <w:rPr>
          <w:rStyle w:val="CharStyle17"/>
        </w:rPr>
        <w:t xml:space="preserve">Дело </w:t>
      </w:r>
      <w:r>
        <w:rPr>
          <w:rStyle w:val="CharStyle17"/>
          <w:lang w:val="en-US" w:eastAsia="en-US"/>
        </w:rPr>
        <w:t xml:space="preserve">№046/06/105-182/2026 </w:t>
      </w:r>
      <w:r>
        <w:rPr>
          <w:rStyle w:val="CharStyle17"/>
        </w:rPr>
        <w:t>производством прекратить.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9"/>
          <w:i/>
          <w:iCs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36830" distB="0" distL="1997710" distR="1900555" simplePos="0" relativeHeight="125829381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49530</wp:posOffset>
            </wp:positionV>
            <wp:extent cx="389890" cy="56070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</wp:posOffset>
                </wp:positionV>
                <wp:extent cx="1825625" cy="2527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9"/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1.pt;width:143.75pt;height:19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9"/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491490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38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174625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5pt;margin-top:13.7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Т.Ю. Рагулина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РАГУЛИНА ТАТЬЯНА ЮРЬЕВНА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</w:rPr>
        <w:t>00А5401</w:t>
      </w:r>
      <w:r>
        <w:rPr>
          <w:rStyle w:val="CharStyle35"/>
          <w:lang w:val="en-US" w:eastAsia="en-US"/>
        </w:rPr>
        <w:t>14FAB674D32DCD80979E543AFD</w:t>
      </w:r>
      <w:r>
        <w:rPr>
          <w:rStyle w:val="CharStyle35"/>
          <w:lang w:val="en-US" w:eastAsia="en-US"/>
        </w:rPr>
        <w:t>7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rStyle w:val="CharStyle35"/>
        </w:rPr>
        <w:t xml:space="preserve">Действителен с </w:t>
      </w:r>
      <w:r>
        <w:rPr>
          <w:rStyle w:val="CharStyle35"/>
          <w:color w:val="5C5C5C"/>
        </w:rPr>
        <w:t>20.1</w:t>
      </w:r>
      <w:r>
        <w:rPr>
          <w:rStyle w:val="CharStyle35"/>
          <w:color w:val="292929"/>
        </w:rPr>
        <w:t>1</w:t>
      </w:r>
      <w:r>
        <w:rPr>
          <w:rStyle w:val="CharStyle35"/>
          <w:color w:val="5C5C5C"/>
        </w:rPr>
        <w:t>.2025 по 1</w:t>
      </w:r>
      <w:r>
        <w:rPr>
          <w:rStyle w:val="CharStyle35"/>
        </w:rPr>
        <w:t>3.02.2027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0000000000001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А.С. Авдеева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Авдеева Алина Сергеевна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00B69CF7E149CC2D3709CA9836318D8101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rStyle w:val="CharStyle35"/>
        </w:rPr>
        <w:t xml:space="preserve">Действителен с 23.05.2025 </w:t>
      </w:r>
      <w:r>
        <w:rPr>
          <w:rStyle w:val="CharStyle35"/>
          <w:color w:val="5C5C5C"/>
        </w:rPr>
        <w:t xml:space="preserve">по </w:t>
      </w:r>
      <w:r>
        <w:rPr>
          <w:rStyle w:val="CharStyle35"/>
        </w:rPr>
        <w:t>16.08.2026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0000000000001pt;margin-top:36.899999999999999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25pt;margin-top:11.950000000000001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А.И. Ченцова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ЧЕНЦОВА АНАСТАСИЯ ИГОРЕВНА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Сертификат </w:t>
      </w:r>
      <w:r>
        <w:rPr>
          <w:rStyle w:val="CharStyle35"/>
          <w:color w:val="292929"/>
        </w:rPr>
        <w:t xml:space="preserve">№ </w:t>
      </w:r>
      <w:r>
        <w:rPr>
          <w:rStyle w:val="CharStyle35"/>
          <w:lang w:val="en-US" w:eastAsia="en-US"/>
        </w:rPr>
        <w:t>00F10A097F9B6FFA220D90FE94464DFE3D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5"/>
        </w:rPr>
        <w:t xml:space="preserve">Действителен с 17.10.2025 </w:t>
      </w:r>
      <w:r>
        <w:rPr>
          <w:rStyle w:val="CharStyle35"/>
          <w:color w:val="5C5C5C"/>
        </w:rPr>
        <w:t xml:space="preserve">по </w:t>
      </w:r>
      <w:r>
        <w:rPr>
          <w:rStyle w:val="CharStyle35"/>
        </w:rPr>
        <w:t>10.01.2027</w:t>
      </w:r>
    </w:p>
    <w:sectPr>
      <w:headerReference w:type="default" r:id="rId19"/>
      <w:footerReference w:type="default" r:id="rId20"/>
      <w:footnotePr>
        <w:pos w:val="pageBottom"/>
        <w:numFmt w:val="decimal"/>
        <w:numRestart w:val="continuous"/>
      </w:footnotePr>
      <w:pgSz w:w="11900" w:h="16840"/>
      <w:pgMar w:top="1666" w:right="545" w:bottom="16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65849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2026-1774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2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2026-1774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2026-1774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2026-1774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658495" cy="10985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2026-1774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7.pt;margin-top:788.20000000000005pt;width:51.850000000000001pt;height:8.6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2026-1774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652780</wp:posOffset>
              </wp:positionV>
              <wp:extent cx="7620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pt;margin-top:51.399999999999999pt;width:6.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796290</wp:posOffset>
              </wp:positionV>
              <wp:extent cx="76200" cy="673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62.700000000000003pt;width:6.pt;height:5.29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652780</wp:posOffset>
              </wp:positionV>
              <wp:extent cx="76200" cy="10033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09.pt;margin-top:51.399999999999999pt;width:6.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76198"/>
      <w:sz w:val="116"/>
      <w:szCs w:val="116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 (3)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Table caption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Picture caption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6198"/>
      <w:sz w:val="116"/>
      <w:szCs w:val="116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12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Body text (3)"/>
    <w:basedOn w:val="Normal"/>
    <w:link w:val="CharStyle19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Table caption"/>
    <w:basedOn w:val="Normal"/>
    <w:link w:val="CharStyle25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Picture caption"/>
    <w:basedOn w:val="Normal"/>
    <w:link w:val="CharStyle2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1.pn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header" Target="header4.xml"/><Relationship Id="rId20" Type="http://schemas.openxmlformats.org/officeDocument/2006/relationships/footer" Target="footer4.xml"/></Relationships>
</file>