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ИП Кравченко А.В. 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КГКУ «Красноярский отдел ветеринарии» ул. Дудинская, д. 5А, г. Красноярск, 660020 </w:t>
      </w:r>
      <w:r>
        <w:fldChar w:fldCharType="begin"/>
      </w:r>
      <w:r>
        <w:rPr/>
        <w:instrText> HYPERLINK "mailto:Krasnoyarskij_ov@vetnadzor24.ru" </w:instrText>
      </w:r>
      <w:r>
        <w:fldChar w:fldCharType="separate"/>
      </w:r>
      <w:r>
        <w:rPr>
          <w:rStyle w:val="CharStyle13"/>
          <w:lang w:val="en-US" w:eastAsia="en-US"/>
        </w:rPr>
        <w:t>Krasnoyarskij_ov@vetnadzor24.ru</w:t>
      </w:r>
      <w:r>
        <w:fldChar w:fldCharType="end"/>
      </w:r>
      <w:r>
        <w:rPr>
          <w:rStyle w:val="CharStyle13"/>
          <w:lang w:val="en-US" w:eastAsia="en-US"/>
        </w:rPr>
        <w:t>;</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"mailto:krasvetotdel@mail.ru" </w:instrText>
      </w:r>
      <w:r>
        <w:fldChar w:fldCharType="separate"/>
      </w:r>
      <w:r>
        <w:rPr>
          <w:rStyle w:val="CharStyle13"/>
          <w:lang w:val="en-US" w:eastAsia="en-US"/>
        </w:rPr>
        <w:t>krasvetotdel@mail.ru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 Красноярского края</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пр-кт Мира, д. 10, оф. 53, г. Красноярск, 660049 </w:t>
      </w:r>
      <w:r>
        <w:fldChar w:fldCharType="begin"/>
      </w:r>
      <w:r>
        <w:rPr/>
        <w:instrText> HYPERLINK "mailto:agz_priem@mail.ru" </w:instrText>
      </w:r>
      <w:r>
        <w:fldChar w:fldCharType="separate"/>
      </w:r>
      <w:r>
        <w:rPr>
          <w:rStyle w:val="CharStyle13"/>
          <w:lang w:val="en-US" w:eastAsia="en-US"/>
        </w:rPr>
        <w:t>agz_priem@mail.ru</w:t>
      </w:r>
      <w:r>
        <w:fldChar w:fldCharType="end"/>
      </w:r>
      <w:r>
        <w:rPr>
          <w:rStyle w:val="CharStyle13"/>
          <w:lang w:val="en-US" w:eastAsia="en-US"/>
        </w:rPr>
        <w:t xml:space="preserve">, </w:t>
      </w:r>
      <w:r>
        <w:fldChar w:fldCharType="begin"/>
      </w:r>
      <w:r>
        <w:rPr/>
        <w:instrText> HYPERLINK "mailto:agz_vorobey@mail.ru" </w:instrText>
      </w:r>
      <w:r>
        <w:fldChar w:fldCharType="separate"/>
      </w:r>
      <w:r>
        <w:rPr>
          <w:rStyle w:val="CharStyle13"/>
          <w:lang w:val="en-US" w:eastAsia="en-US"/>
        </w:rPr>
        <w:t>agz_vorobey@mail.ru</w:t>
      </w:r>
      <w:r>
        <w:fldChar w:fldCharType="end"/>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1021" w:bottom="1212" w:left="1135" w:header="0" w:footer="3" w:gutter="0"/>
          <w:pgNumType w:start="1"/>
          <w:cols w:num="2" w:space="787"/>
          <w:noEndnote/>
          <w:titlePg/>
          <w:rtlGutter w:val="0"/>
          <w:docGrid w:linePitch="360"/>
        </w:sectPr>
      </w:pPr>
      <w:r>
        <w:rPr>
          <w:rStyle w:val="CharStyle13"/>
        </w:rPr>
        <w:t xml:space="preserve">АО «ТЭК-Торг» </w:t>
      </w:r>
      <w:r>
        <w:fldChar w:fldCharType="begin"/>
      </w:r>
      <w:r>
        <w:rPr/>
        <w:instrText> HYPERLINK "mailto:help@tektorg.ru" </w:instrText>
      </w:r>
      <w:r>
        <w:fldChar w:fldCharType="separate"/>
      </w:r>
      <w:r>
        <w:rPr>
          <w:rStyle w:val="CharStyle13"/>
          <w:lang w:val="en-US" w:eastAsia="en-US"/>
        </w:rPr>
        <w:t>help@tektorg.ru</w:t>
      </w:r>
      <w:r>
        <w:fldChar w:fldCharType="end"/>
      </w:r>
    </w:p>
    <w:p>
      <w:pPr>
        <w:widowControl w:val="0"/>
        <w:spacing w:line="240" w:lineRule="exact"/>
        <w:rPr>
          <w:sz w:val="19"/>
          <w:szCs w:val="19"/>
        </w:rPr>
      </w:pP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7" w:right="0" w:bottom="1173"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024/06/105-1247/2026</w:t>
      </w:r>
    </w:p>
    <w:p>
      <w:pPr>
        <w:pStyle w:val="Style12"/>
        <w:keepNext w:val="0"/>
        <w:keepLines w:val="0"/>
        <w:widowControl w:val="0"/>
        <w:shd w:val="clear" w:color="auto" w:fill="auto"/>
        <w:tabs>
          <w:tab w:pos="8803" w:val="left"/>
        </w:tabs>
        <w:bidi w:val="0"/>
        <w:spacing w:before="0" w:after="240" w:line="240" w:lineRule="auto"/>
        <w:ind w:left="0" w:right="0" w:firstLine="0"/>
        <w:jc w:val="both"/>
      </w:pPr>
      <w:r>
        <w:rPr>
          <w:rStyle w:val="CharStyle13"/>
        </w:rPr>
        <w:t>28 апреля 2026 года</w:t>
        <w:tab/>
        <w:t>г. Красноярск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Красноярского УФАС России по контролю в сфере закупок в составе: Председатель Комиссии — Е.О. Хорышев, врио заместителя руководителя, члены Комиссии — Н.С. Криворучкин, ведущий специалист-эксперт, А.О. Сидоров, ведущий специалист-эксперт (далее — Комиссия), рассмотрев жалобу ИП Кравченко А.В. (далее — податель жалобы) на действия заказчика — КГКУ «Красноярский отдел ветеринарии»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в электронной форме ЭА-№- 4663/26 «Аппараты ультразвукового сканирования» с начальной (максимальной) ценой контракта 4 710 000,00 рублей (далее — электронный аукцион), извещение № 0119200000126006280, ИКЗ 262246500125824650100100060012660244 на электронной торговой площадке АО «ТЭК-Торг»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40"/>
        <w:jc w:val="both"/>
      </w:pPr>
      <w:r>
        <w:rPr>
          <w:rStyle w:val="CharStyle13"/>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12"/>
        <w:keepNext w:val="0"/>
        <w:keepLines w:val="0"/>
        <w:widowControl w:val="0"/>
        <w:shd w:val="clear" w:color="auto" w:fill="auto"/>
        <w:bidi w:val="0"/>
        <w:spacing w:before="0" w:after="440" w:line="240" w:lineRule="auto"/>
        <w:ind w:left="0" w:right="0" w:firstLine="740"/>
        <w:jc w:val="both"/>
      </w:pPr>
      <w:r>
        <w:rPr>
          <w:rStyle w:val="CharStyle13"/>
        </w:rPr>
        <w:t>Уведомление также было размещено на официальном сайте единой информационной системы в сфере закупок (далее — ЕИС), что считается надлежащим уведомлением о дате и</w:t>
      </w:r>
    </w:p>
    <w:p>
      <w:pPr>
        <w:pStyle w:val="Style14"/>
        <w:keepNext/>
        <w:keepLines/>
        <w:widowControl w:val="0"/>
        <w:shd w:val="clear" w:color="auto" w:fill="auto"/>
        <w:bidi w:val="0"/>
        <w:spacing w:before="0" w:line="240" w:lineRule="auto"/>
        <w:ind w:left="0" w:right="0" w:firstLine="0"/>
        <w:jc w:val="both"/>
      </w:pPr>
      <w:bookmarkStart w:id="0" w:name="bookmark0"/>
      <w:r>
        <w:rPr>
          <w:rStyle w:val="CharStyle15"/>
        </w:rPr>
        <w:t>IIIIIIIIIIIIIIIIIIIIIIII</w:t>
      </w:r>
      <w:bookmarkEnd w:id="0"/>
    </w:p>
    <w:p>
      <w:pPr>
        <w:pStyle w:val="Style12"/>
        <w:keepNext w:val="0"/>
        <w:keepLines w:val="0"/>
        <w:widowControl w:val="0"/>
        <w:shd w:val="clear" w:color="auto" w:fill="auto"/>
        <w:bidi w:val="0"/>
        <w:spacing w:before="0" w:after="0" w:line="240" w:lineRule="auto"/>
        <w:ind w:left="0" w:right="0" w:firstLine="0"/>
        <w:jc w:val="both"/>
      </w:pPr>
      <w:r>
        <w:rPr>
          <w:rStyle w:val="CharStyle13"/>
        </w:rPr>
        <w:t>времени заседания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3"/>
          <w:lang w:val="en-US" w:eastAsia="en-US"/>
        </w:rPr>
        <w:t xml:space="preserve">14:00 </w:t>
      </w:r>
      <w:r>
        <w:rPr>
          <w:rStyle w:val="CharStyle13"/>
        </w:rPr>
        <w:t xml:space="preserve">и не позднее </w:t>
      </w:r>
      <w:r>
        <w:rPr>
          <w:rStyle w:val="CharStyle13"/>
          <w:lang w:val="en-US" w:eastAsia="en-US"/>
        </w:rPr>
        <w:t xml:space="preserve">15:00 </w:t>
      </w:r>
      <w:r>
        <w:rPr>
          <w:rStyle w:val="CharStyle13"/>
        </w:rPr>
        <w:t>по московскому времени или в последний час работы Красноярского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заседании Комиссии по рассмотрению жалобы по существу, состоявшемся </w:t>
      </w:r>
      <w:r>
        <w:rPr>
          <w:rStyle w:val="CharStyle13"/>
          <w:lang w:val="en-US" w:eastAsia="en-US"/>
        </w:rPr>
        <w:t xml:space="preserve">28.04.2026 </w:t>
      </w:r>
      <w:r>
        <w:rPr>
          <w:rStyle w:val="CharStyle13"/>
        </w:rPr>
        <w:t xml:space="preserve">в </w:t>
      </w:r>
      <w:r>
        <w:rPr>
          <w:rStyle w:val="CharStyle13"/>
          <w:lang w:val="en-US" w:eastAsia="en-US"/>
        </w:rPr>
        <w:t xml:space="preserve">8 </w:t>
      </w:r>
      <w:r>
        <w:rPr>
          <w:rStyle w:val="CharStyle13"/>
        </w:rPr>
        <w:t xml:space="preserve">часов </w:t>
      </w:r>
      <w:r>
        <w:rPr>
          <w:rStyle w:val="CharStyle13"/>
          <w:lang w:val="en-US" w:eastAsia="en-US"/>
        </w:rPr>
        <w:t xml:space="preserve">30 </w:t>
      </w:r>
      <w:r>
        <w:rPr>
          <w:rStyle w:val="CharStyle13"/>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уведомленный податель жалобы свою явку не обеспечил.</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руководствуясь статьей </w:t>
      </w:r>
      <w:r>
        <w:rPr>
          <w:rStyle w:val="CharStyle13"/>
          <w:lang w:val="en-US" w:eastAsia="en-US"/>
        </w:rPr>
        <w:t xml:space="preserve">99 </w:t>
      </w:r>
      <w:r>
        <w:rPr>
          <w:rStyle w:val="CharStyle13"/>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доводов жалобы следует, что, по мнению подателя жалобы, заказчиком допущены следующие нарушения Закона о контрактной системе:</w:t>
      </w:r>
    </w:p>
    <w:p>
      <w:pPr>
        <w:pStyle w:val="Style12"/>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rStyle w:val="CharStyle13"/>
        </w:rPr>
        <w:t>заказчиком при формировании объекта закупки не выбрана позиция КТРУ;</w:t>
      </w:r>
    </w:p>
    <w:p>
      <w:pPr>
        <w:pStyle w:val="Style12"/>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3"/>
        </w:rPr>
        <w:t>установлены дополнительные характеристики, которые не предусмотрены позициями КТРУ;</w:t>
      </w:r>
    </w:p>
    <w:p>
      <w:pPr>
        <w:pStyle w:val="Style12"/>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3"/>
        </w:rPr>
        <w:t>заказчиком неправомерно установлены требования к предоставлению лицензий и СРО на поставку медицинского оборудования;</w:t>
      </w:r>
    </w:p>
    <w:p>
      <w:pPr>
        <w:pStyle w:val="Style12"/>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3"/>
        </w:rPr>
        <w:t>в рамках одной закупки незаконно закупаются товары с разными ОКПД2 и разных направлений и групп в одной процедуре;</w:t>
      </w:r>
    </w:p>
    <w:p>
      <w:pPr>
        <w:pStyle w:val="Style12"/>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3"/>
        </w:rPr>
        <w:t>незаконно указан товарный знак единственного производителя;</w:t>
      </w:r>
    </w:p>
    <w:p>
      <w:pPr>
        <w:pStyle w:val="Style12"/>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3"/>
        </w:rPr>
        <w:t>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Правительства Российской Федерации от </w:t>
      </w:r>
      <w:r>
        <w:rPr>
          <w:rStyle w:val="CharStyle13"/>
          <w:lang w:val="en-US" w:eastAsia="en-US"/>
        </w:rPr>
        <w:t xml:space="preserve">10.07.2019 №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878) </w:t>
      </w:r>
      <w:r>
        <w:rPr>
          <w:rStyle w:val="CharStyle13"/>
        </w:rPr>
        <w:t xml:space="preserve">и по Постановлению Правительства Российской Федерации от </w:t>
      </w:r>
      <w:r>
        <w:rPr>
          <w:rStyle w:val="CharStyle13"/>
          <w:lang w:val="en-US" w:eastAsia="en-US"/>
        </w:rPr>
        <w:t xml:space="preserve">12.02.2020 № 126 </w:t>
      </w:r>
      <w:r>
        <w:rPr>
          <w:rStyle w:val="CharStyle13"/>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3"/>
          <w:lang w:val="en-US" w:eastAsia="en-US"/>
        </w:rPr>
        <w:t xml:space="preserve">— </w:t>
      </w:r>
      <w:r>
        <w:rPr>
          <w:rStyle w:val="CharStyle13"/>
        </w:rPr>
        <w:t xml:space="preserve">Постановление </w:t>
      </w:r>
      <w:r>
        <w:rPr>
          <w:rStyle w:val="CharStyle13"/>
          <w:lang w:val="en-US" w:eastAsia="en-US"/>
        </w:rPr>
        <w:t>№ 126);</w:t>
      </w:r>
    </w:p>
    <w:p>
      <w:pPr>
        <w:pStyle w:val="Style12"/>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rStyle w:val="CharStyle13"/>
        </w:rPr>
        <w:t xml:space="preserve">заказчиком не применены ограничения по Постановлению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numPr>
          <w:ilvl w:val="0"/>
          <w:numId w:val="1"/>
        </w:numPr>
        <w:shd w:val="clear" w:color="auto" w:fill="auto"/>
        <w:tabs>
          <w:tab w:pos="1190" w:val="left"/>
        </w:tabs>
        <w:bidi w:val="0"/>
        <w:spacing w:before="0" w:after="0" w:line="240" w:lineRule="auto"/>
        <w:ind w:left="0" w:right="0" w:firstLine="720"/>
        <w:jc w:val="both"/>
      </w:pPr>
      <w:r>
        <w:rPr>
          <w:rStyle w:val="CharStyle13"/>
        </w:rPr>
        <w:t>заказчик описал объект закупки таким образом, что ему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производства более низкого качества, по завышенной цене;</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3"/>
          <w:lang w:val="en-US" w:eastAsia="en-US"/>
        </w:rPr>
        <w:t xml:space="preserve">26.07.2006 №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оборудования;</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 xml:space="preserve">заказчиком не соблюдены требования Постановления Правительства Российской Федерации от </w:t>
      </w:r>
      <w:r>
        <w:rPr>
          <w:rStyle w:val="CharStyle13"/>
          <w:lang w:val="en-US" w:eastAsia="en-US"/>
        </w:rPr>
        <w:t xml:space="preserve">03.12.2020 № 2014 </w:t>
      </w:r>
      <w:r>
        <w:rPr>
          <w:rStyle w:val="CharStyle13"/>
        </w:rPr>
        <w:t xml:space="preserve">«О минимальной обязательной доле российских товаров и ее достижении заказчиком» (далее </w:t>
      </w:r>
      <w:r>
        <w:rPr>
          <w:rStyle w:val="CharStyle13"/>
          <w:lang w:val="en-US" w:eastAsia="en-US"/>
        </w:rPr>
        <w:t xml:space="preserve">— </w:t>
      </w:r>
      <w:r>
        <w:rPr>
          <w:rStyle w:val="CharStyle13"/>
        </w:rPr>
        <w:t xml:space="preserve">Постановление </w:t>
      </w:r>
      <w:r>
        <w:rPr>
          <w:rStyle w:val="CharStyle13"/>
          <w:lang w:val="en-US" w:eastAsia="en-US"/>
        </w:rPr>
        <w:t>№ 2014);</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 xml:space="preserve">заказчик неправомерно не применил положения Постановления Правительства Российской Федерации от </w:t>
      </w:r>
      <w:r>
        <w:rPr>
          <w:rStyle w:val="CharStyle13"/>
          <w:lang w:val="en-US" w:eastAsia="en-US"/>
        </w:rPr>
        <w:t xml:space="preserve">16.11.2015 № 1236 </w:t>
      </w:r>
      <w:r>
        <w:rPr>
          <w:rStyle w:val="CharStyle13"/>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numPr>
          <w:ilvl w:val="0"/>
          <w:numId w:val="1"/>
        </w:numPr>
        <w:shd w:val="clear" w:color="auto" w:fill="auto"/>
        <w:tabs>
          <w:tab w:pos="1183" w:val="left"/>
        </w:tabs>
        <w:bidi w:val="0"/>
        <w:spacing w:before="0" w:after="0" w:line="240" w:lineRule="auto"/>
        <w:ind w:left="0" w:right="0" w:firstLine="720"/>
        <w:jc w:val="both"/>
      </w:pPr>
      <w:r>
        <w:rPr>
          <w:rStyle w:val="CharStyle13"/>
        </w:rPr>
        <w:t xml:space="preserve">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(далее также </w:t>
      </w:r>
      <w:r>
        <w:rPr>
          <w:rStyle w:val="CharStyle13"/>
          <w:lang w:val="en-US" w:eastAsia="en-US"/>
        </w:rPr>
        <w:t xml:space="preserve">— </w:t>
      </w:r>
      <w:r>
        <w:rPr>
          <w:rStyle w:val="CharStyle13"/>
        </w:rPr>
        <w:t>НМЦК).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отмечает, что ходатайство подателя жалобы об истребовании у Заказчика оригиналов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Красноярским УФАС России у заказчика, уполномоченного органа запрошены пояснения по доводам, изложенным в жалобе, копии документов, подтверждающих утверждение положений извещения о закупке, копии коммерческих предложений и их запросы, сведения о товарах, характеристики эквивалентности которых соответствуют характеристикам объекта закупки (таблица эквивалентности), копии документов о создании комиссии по осуществлению закупок, копии документов о назначении ответственных за размещение информации и документов в ЕИС.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поскольку Комиссия не проверяет обоснование НМЦК ввиду отсутствия на то предоставленных законом полномочий.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этой связи Комиссия не усмотрела оснований для удовлетворения ходатайства подателя жалобы об истребовании у заказчика запросов российским производителям (минимум двум</w:t>
      </w:r>
    </w:p>
    <w:p>
      <w:pPr>
        <w:pStyle w:val="Style12"/>
        <w:keepNext w:val="0"/>
        <w:keepLines w:val="0"/>
        <w:widowControl w:val="0"/>
        <w:shd w:val="clear" w:color="auto" w:fill="auto"/>
        <w:bidi w:val="0"/>
        <w:spacing w:before="0" w:after="0" w:line="240" w:lineRule="auto"/>
        <w:ind w:left="0" w:right="0" w:firstLine="0"/>
        <w:jc w:val="both"/>
      </w:pPr>
      <w:r>
        <w:rPr>
          <w:rStyle w:val="CharStyle13"/>
        </w:rPr>
        <w:t>находящимся в реестре радиоэлектронной продукции) о наличии/отсутствии у них оборудования с требуемыми заказчику характеристиками, поскольку такие доказательства не имеют и не могут иметь правового значения при рассмотрении Комиссией действий заказчика, выразившихся в формировании описания объекта закупки в извещении об осуществлении закупки, а равно иных положений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положений статьи </w:t>
      </w:r>
      <w:r>
        <w:rPr>
          <w:rStyle w:val="CharStyle13"/>
          <w:lang w:val="en-US" w:eastAsia="en-US"/>
        </w:rPr>
        <w:t xml:space="preserve">99 </w:t>
      </w:r>
      <w:r>
        <w:rPr>
          <w:rStyle w:val="CharStyle13"/>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осуществлении закупки заказчик на основании статьи </w:t>
      </w:r>
      <w:r>
        <w:rPr>
          <w:rStyle w:val="CharStyle13"/>
          <w:lang w:val="en-US" w:eastAsia="en-US"/>
        </w:rPr>
        <w:t xml:space="preserve">22, </w:t>
      </w:r>
      <w:r>
        <w:rPr>
          <w:rStyle w:val="CharStyle13"/>
        </w:rPr>
        <w:t xml:space="preserve">частей </w:t>
      </w:r>
      <w:r>
        <w:rPr>
          <w:rStyle w:val="CharStyle13"/>
          <w:lang w:val="en-US" w:eastAsia="en-US"/>
        </w:rPr>
        <w:t xml:space="preserve">1, 2 </w:t>
      </w:r>
      <w:r>
        <w:rPr>
          <w:rStyle w:val="CharStyle13"/>
        </w:rPr>
        <w:t xml:space="preserve">статьи </w:t>
      </w:r>
      <w:r>
        <w:rPr>
          <w:rStyle w:val="CharStyle13"/>
          <w:lang w:val="en-US" w:eastAsia="en-US"/>
        </w:rPr>
        <w:t xml:space="preserve">42 </w:t>
      </w:r>
      <w:r>
        <w:rPr>
          <w:rStyle w:val="CharStyle13"/>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силу части </w:t>
      </w:r>
      <w:r>
        <w:rPr>
          <w:rStyle w:val="CharStyle13"/>
          <w:lang w:val="en-US" w:eastAsia="en-US"/>
        </w:rPr>
        <w:t xml:space="preserve">8 </w:t>
      </w:r>
      <w:r>
        <w:rPr>
          <w:rStyle w:val="CharStyle13"/>
        </w:rPr>
        <w:t xml:space="preserve">статьи </w:t>
      </w:r>
      <w:r>
        <w:rPr>
          <w:rStyle w:val="CharStyle13"/>
          <w:lang w:val="en-US" w:eastAsia="en-US"/>
        </w:rPr>
        <w:t xml:space="preserve">99 </w:t>
      </w:r>
      <w:r>
        <w:rPr>
          <w:rStyle w:val="CharStyle13"/>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3"/>
          <w:lang w:val="en-US" w:eastAsia="en-US"/>
        </w:rPr>
        <w:t xml:space="preserve">23.07.2015 № 649/15, </w:t>
      </w:r>
      <w:r>
        <w:rPr>
          <w:rStyle w:val="CharStyle13"/>
        </w:rPr>
        <w:t xml:space="preserve">с учетом содержания статьи </w:t>
      </w:r>
      <w:r>
        <w:rPr>
          <w:rStyle w:val="CharStyle13"/>
          <w:lang w:val="en-US" w:eastAsia="en-US"/>
        </w:rPr>
        <w:t xml:space="preserve">99 </w:t>
      </w:r>
      <w:r>
        <w:rPr>
          <w:rStyle w:val="CharStyle13"/>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позиции КТРУ </w:t>
      </w:r>
      <w:r>
        <w:rPr>
          <w:rStyle w:val="CharStyle13"/>
          <w:lang w:val="en-US" w:eastAsia="en-US"/>
        </w:rPr>
        <w:t>26.60.12.132.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запрет, ограничение или преимущество указываются характеристики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Исходя из пояснений уполномоченного органа, на текущий момент на рынке представлено</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как минимум две модели медицинского оборудования, соответствующих описанию объекта закупки </w:t>
      </w:r>
      <w:r>
        <w:rPr>
          <w:rStyle w:val="CharStyle13"/>
          <w:lang w:val="en-US" w:eastAsia="en-US"/>
        </w:rPr>
        <w:t xml:space="preserve">— </w:t>
      </w:r>
      <w:r>
        <w:rPr>
          <w:rStyle w:val="CharStyle13"/>
        </w:rPr>
        <w:t xml:space="preserve">системы ультразвуковые диагностические медицинские компаний </w:t>
      </w:r>
      <w:r>
        <w:rPr>
          <w:rStyle w:val="CharStyle13"/>
          <w:lang w:val="en-US" w:eastAsia="en-US"/>
        </w:rPr>
        <w:t xml:space="preserve">VETLIGA, </w:t>
      </w:r>
      <w:r>
        <w:rPr>
          <w:rStyle w:val="CharStyle13"/>
        </w:rPr>
        <w:t xml:space="preserve">КНДР и </w:t>
      </w:r>
      <w:r>
        <w:rPr>
          <w:rStyle w:val="CharStyle13"/>
          <w:lang w:val="en-US" w:eastAsia="en-US"/>
        </w:rPr>
        <w:t xml:space="preserve">Mindray Animal Medical, </w:t>
      </w:r>
      <w:r>
        <w:rPr>
          <w:rStyle w:val="CharStyle13"/>
        </w:rPr>
        <w:t>КНДР.</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установлены особенности описания объекта закупки в случае если производство товара на территории Российской Федерации отсутствует.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данном случае заказчик при осуществлении закупки товаров, указанных в позициях </w:t>
      </w:r>
      <w:r>
        <w:rPr>
          <w:rStyle w:val="CharStyle13"/>
          <w:lang w:val="en-US" w:eastAsia="en-US"/>
        </w:rPr>
        <w:t xml:space="preserve">1 - 433 </w:t>
      </w:r>
      <w:r>
        <w:rPr>
          <w:rStyle w:val="CharStyle13"/>
        </w:rPr>
        <w:t xml:space="preserve">Приложении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w:t>
      </w:r>
      <w:r>
        <w:rPr>
          <w:rStyle w:val="CharStyle13"/>
        </w:rPr>
        <w:t xml:space="preserve">декларирует в извещении об осуществлении закупки факт отсутствия в реестре российской промышленной продукции такого товара с характеристиками, соответствующими потребности заказчика, указывает в описании объекта закупки характеристики товара, потребность в котором имеется у заказчика и который отсутствует в реестре российской промышленной продукции, а также включает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содержит копию направленного в Минпромторг России уведомления, а описание объекта закупки сформировано в соответствии с вышеизложенными требованиями.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позиции Минфина России, выраженной в письме от </w:t>
      </w:r>
      <w:r>
        <w:rPr>
          <w:rStyle w:val="CharStyle13"/>
          <w:lang w:val="en-US" w:eastAsia="en-US"/>
        </w:rPr>
        <w:t xml:space="preserve">31.01.2025 № 24-01-06/8697 </w:t>
      </w:r>
      <w:r>
        <w:rPr>
          <w:rStyle w:val="CharStyle13"/>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заказчик при описании объекта закупки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было направлено уведомление в Минпромторг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w:t>
      </w:r>
      <w:r>
        <w:rPr>
          <w:rStyle w:val="CharStyle13"/>
          <w:lang w:val="en-US" w:eastAsia="en-US"/>
        </w:rPr>
        <w:t xml:space="preserve">4 710 000,00 </w:t>
      </w:r>
      <w:r>
        <w:rPr>
          <w:rStyle w:val="CharStyle13"/>
        </w:rPr>
        <w:t>рублей.</w:t>
      </w:r>
    </w:p>
    <w:p>
      <w:pPr>
        <w:pStyle w:val="Style12"/>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3"/>
        </w:rPr>
        <w:t>По мнению подателя жалобы, заказчиком при формировании объекта закупки не выбрана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w:t>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извещение об осуществлении закупки должно содержать следующую информацию:</w:t>
      </w:r>
    </w:p>
    <w:p>
      <w:pPr>
        <w:pStyle w:val="Style12"/>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5"/>
        </w:numPr>
        <w:shd w:val="clear" w:color="auto" w:fill="auto"/>
        <w:tabs>
          <w:tab w:pos="941"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Закупаемое заказчиком оборудование будет использоваться для обследования домашних животных и сельскохозяйственных животных.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Параметры, указанные в КТРУ </w:t>
      </w:r>
      <w:r>
        <w:rPr>
          <w:rStyle w:val="CharStyle13"/>
          <w:lang w:val="en-US" w:eastAsia="en-US"/>
        </w:rPr>
        <w:t xml:space="preserve">26.60.12.132, </w:t>
      </w:r>
      <w:r>
        <w:rPr>
          <w:rStyle w:val="CharStyle13"/>
        </w:rPr>
        <w:t>не предусматривают вышеуказанные требования к приборам ввиду специфики применения (предназначены для обследования людей, а не животных) и не могут в полной мере охватить все необходимые заказчику функциональные технические, качественные, эксплуатационные характеристики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соответствии с вышеуказанным заказчиком позиция КТРУ применена не была.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7 </w:t>
      </w:r>
      <w:r>
        <w:rPr>
          <w:rStyle w:val="CharStyle13"/>
        </w:rPr>
        <w:t>Правил использования КТРУ в случае осуществления закупки товара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Соответственно, Правила использования КТРУ допускают неприменение позиции КТРУ в отдельных случаях, включая рассматриваемый случай.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первый довод подателя жалобы о неприменении заказчиком позиции КТРУ признается необоснованным.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Заказчиком не применена позиция КТРУ, соответственно, заказчик осуществлял описание объекта закупки в соответствии с требованиями статьи </w:t>
      </w:r>
      <w:r>
        <w:rPr>
          <w:rStyle w:val="CharStyle13"/>
          <w:lang w:val="en-US" w:eastAsia="en-US"/>
        </w:rPr>
        <w:t xml:space="preserve">33 </w:t>
      </w:r>
      <w:r>
        <w:rPr>
          <w:rStyle w:val="CharStyle13"/>
        </w:rPr>
        <w:t>Закона о контрактной системе и не мог установить дополнительные характеристики, которые не предусмотрены позициями КТРУ (поскольку позиция КТРУ не применялась).</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второй довод подателя жалобы о неприменении заказчиком позиции КТРУ признается необоснованным.</w:t>
      </w:r>
    </w:p>
    <w:p>
      <w:pPr>
        <w:pStyle w:val="Style12"/>
        <w:keepNext w:val="0"/>
        <w:keepLines w:val="0"/>
        <w:widowControl w:val="0"/>
        <w:numPr>
          <w:ilvl w:val="0"/>
          <w:numId w:val="3"/>
        </w:numPr>
        <w:shd w:val="clear" w:color="auto" w:fill="auto"/>
        <w:tabs>
          <w:tab w:pos="1107" w:val="left"/>
        </w:tabs>
        <w:bidi w:val="0"/>
        <w:spacing w:before="0" w:after="0" w:line="240" w:lineRule="auto"/>
        <w:ind w:left="0" w:right="0" w:firstLine="720"/>
        <w:jc w:val="both"/>
      </w:pPr>
      <w:r>
        <w:rPr>
          <w:rStyle w:val="CharStyle13"/>
        </w:rPr>
        <w:t>Из жалобы следует, что заказчиком неправомерно установлены требования к предоставлению лицензий и СРО на поставку медицинского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медицинского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третий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rStyle w:val="CharStyle13"/>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Объектом закупки является только поставка аппарата ультразвукового сканирования. Кроме указанного товара, иные товары в рамках рассматриваемой закупки не закупаются.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четвертый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Из довода жалобы следует, что заказчиком в описании объекта закупки незаконно указан товарный знак единственного производителя.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указание товарного знака в описании объекта закупки по общему правилу не допускается.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описание объекта закупки не содержит требования или указания в отношении товарных знаков.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пятый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Извещение об осуществлении закупки было размещено </w:t>
      </w:r>
      <w:r>
        <w:rPr>
          <w:rStyle w:val="CharStyle13"/>
          <w:lang w:val="en-US" w:eastAsia="en-US"/>
        </w:rPr>
        <w:t xml:space="preserve">09.04.2026, </w:t>
      </w:r>
      <w:r>
        <w:rPr>
          <w:rStyle w:val="CharStyle13"/>
        </w:rPr>
        <w:t xml:space="preserve">срок окончания подачи заявок </w:t>
      </w:r>
      <w:r>
        <w:rPr>
          <w:rStyle w:val="CharStyle13"/>
          <w:lang w:val="en-US" w:eastAsia="en-US"/>
        </w:rPr>
        <w:t>— 22.04.2026.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шестой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седьмой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w:t>
      </w:r>
      <w:r>
        <w:rPr>
          <w:rStyle w:val="CharStyle13"/>
          <w:lang w:val="en-US" w:eastAsia="en-US"/>
        </w:rPr>
        <w:t xml:space="preserve">№ 878 </w:t>
      </w:r>
      <w:r>
        <w:rPr>
          <w:rStyle w:val="CharStyle13"/>
        </w:rPr>
        <w:t xml:space="preserve">и по Постановлению </w:t>
      </w:r>
      <w:r>
        <w:rPr>
          <w:rStyle w:val="CharStyle13"/>
          <w:lang w:val="en-US" w:eastAsia="en-US"/>
        </w:rPr>
        <w:t>№ 126.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подателя жалобы на то, что Постановление </w:t>
      </w:r>
      <w:r>
        <w:rPr>
          <w:rStyle w:val="CharStyle13"/>
          <w:lang w:val="en-US" w:eastAsia="en-US"/>
        </w:rPr>
        <w:t xml:space="preserve">№ 878 </w:t>
      </w:r>
      <w:r>
        <w:rPr>
          <w:rStyle w:val="CharStyle13"/>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3"/>
          <w:lang w:val="en-US" w:eastAsia="en-US"/>
        </w:rPr>
        <w:t xml:space="preserve">№ 878, </w:t>
      </w:r>
      <w:r>
        <w:rPr>
          <w:rStyle w:val="CharStyle13"/>
        </w:rPr>
        <w:t xml:space="preserve">утратил силу с </w:t>
      </w:r>
      <w:r>
        <w:rPr>
          <w:rStyle w:val="CharStyle13"/>
          <w:lang w:val="en-US" w:eastAsia="en-US"/>
        </w:rPr>
        <w:t>01.01.2025.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 </w:t>
      </w:r>
      <w:r>
        <w:rPr>
          <w:rStyle w:val="CharStyle13"/>
          <w:lang w:val="en-US" w:eastAsia="en-US"/>
        </w:rPr>
        <w:t xml:space="preserve">№ 126 </w:t>
      </w:r>
      <w:r>
        <w:rPr>
          <w:rStyle w:val="CharStyle13"/>
        </w:rPr>
        <w:t xml:space="preserve">также утратило силу с </w:t>
      </w:r>
      <w:r>
        <w:rPr>
          <w:rStyle w:val="CharStyle13"/>
          <w:lang w:val="en-US" w:eastAsia="en-US"/>
        </w:rPr>
        <w:t>01.09.2025.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3"/>
        </w:rPr>
        <w:t xml:space="preserve">По мнению подателя жалобы, заказчиком не применены ограничения по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Правительство Российской Федерации вправе с учетом положений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принимать меры, устанавливающие:</w:t>
      </w:r>
    </w:p>
    <w:p>
      <w:pPr>
        <w:pStyle w:val="Style12"/>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rStyle w:val="CharStyle1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27" w:val="left"/>
        </w:tabs>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Постановления </w:t>
      </w:r>
      <w:r>
        <w:rPr>
          <w:rStyle w:val="CharStyle13"/>
          <w:lang w:val="en-US" w:eastAsia="en-US"/>
        </w:rPr>
        <w:t xml:space="preserve">№ 1875 </w:t>
      </w:r>
      <w:r>
        <w:rPr>
          <w:rStyle w:val="CharStyle13"/>
        </w:rPr>
        <w:t>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оказываемых иностранными лицами, по перечню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Объектом закупки является поставка аппарата ультразвукового сканирования, код ОКПД </w:t>
      </w:r>
      <w:r>
        <w:rPr>
          <w:rStyle w:val="CharStyle13"/>
          <w:lang w:val="en-US" w:eastAsia="en-US"/>
        </w:rPr>
        <w:t xml:space="preserve">2: 26.60.12.132. </w:t>
      </w:r>
      <w:r>
        <w:rPr>
          <w:rStyle w:val="CharStyle13"/>
        </w:rPr>
        <w:t xml:space="preserve">Сведения о товаре, входящем в состав объекта закупки, имеются в Приложении </w:t>
      </w:r>
      <w:r>
        <w:rPr>
          <w:rStyle w:val="CharStyle13"/>
          <w:lang w:val="en-US" w:eastAsia="en-US"/>
        </w:rPr>
        <w:t xml:space="preserve">№ 2 </w:t>
      </w:r>
      <w:r>
        <w:rPr>
          <w:rStyle w:val="CharStyle13"/>
        </w:rPr>
        <w:t xml:space="preserve">Постановления </w:t>
      </w:r>
      <w:r>
        <w:rPr>
          <w:rStyle w:val="CharStyle13"/>
          <w:lang w:val="en-US" w:eastAsia="en-US"/>
        </w:rPr>
        <w:t xml:space="preserve">№ 1875 </w:t>
      </w:r>
      <w:r>
        <w:rPr>
          <w:rStyle w:val="CharStyle13"/>
        </w:rPr>
        <w:t xml:space="preserve">(позиция </w:t>
      </w:r>
      <w:r>
        <w:rPr>
          <w:rStyle w:val="CharStyle13"/>
          <w:lang w:val="en-US" w:eastAsia="en-US"/>
        </w:rPr>
        <w:t xml:space="preserve">№ 314, </w:t>
      </w:r>
      <w:r>
        <w:rPr>
          <w:rStyle w:val="CharStyle13"/>
        </w:rPr>
        <w:t>аппараты ультразвукового сканирования).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Исходя из указанного, в извещении должно быть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указанное ограничение установлено.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девятый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67" w:val="left"/>
        </w:tabs>
        <w:bidi w:val="0"/>
        <w:spacing w:before="0" w:after="0" w:line="240" w:lineRule="auto"/>
        <w:ind w:left="0" w:right="0" w:firstLine="720"/>
        <w:jc w:val="both"/>
      </w:pPr>
      <w:r>
        <w:rPr>
          <w:rStyle w:val="CharStyle13"/>
        </w:rPr>
        <w:t>По мнению подателя жалобы, описанию объекта закупки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было установлено Комиссией ранее, заказчик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было направлено уведомление в Минпромторг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в отношении указанного довода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в том числе, различным моделям медицинского оборудования присутствующим в едином реестре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установление в извещении об осуществлении закупки иных характеристик медицинского оборудования не будет служить цели удовлетворения потребности заказчика. Доказательств обратного Комиссии представлено не было.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 учетом вышеизложенного, Комиссия пришла к выводу о том, что заказчик вправе включить в извещение об осуществлении закупки такие характеристики товара, которые отвечают именно его потребностям, с учетом того обстоятельства, что закупка медицинского оборудования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3"/>
          <w:lang w:val="en-US" w:eastAsia="en-US"/>
        </w:rPr>
        <w:t xml:space="preserve">41 </w:t>
      </w:r>
      <w:r>
        <w:rPr>
          <w:rStyle w:val="CharStyle13"/>
        </w:rPr>
        <w:t xml:space="preserve">Конституции Российской Федерации и статье </w:t>
      </w:r>
      <w:r>
        <w:rPr>
          <w:rStyle w:val="CharStyle13"/>
          <w:lang w:val="en-US" w:eastAsia="en-US"/>
        </w:rPr>
        <w:t xml:space="preserve">4 </w:t>
      </w:r>
      <w:r>
        <w:rPr>
          <w:rStyle w:val="CharStyle13"/>
        </w:rPr>
        <w:t xml:space="preserve">Федерального закона от </w:t>
      </w:r>
      <w:r>
        <w:rPr>
          <w:rStyle w:val="CharStyle13"/>
          <w:lang w:val="en-US" w:eastAsia="en-US"/>
        </w:rPr>
        <w:t xml:space="preserve">21.11.2011 № </w:t>
      </w:r>
      <w:r>
        <w:rPr>
          <w:rStyle w:val="CharStyle13"/>
        </w:rPr>
        <w:t>323-ФЗ «Об основах здоровья граждан в Российской Федерации», предусматривающих</w:t>
      </w:r>
    </w:p>
    <w:p>
      <w:pPr>
        <w:pStyle w:val="Style12"/>
        <w:keepNext w:val="0"/>
        <w:keepLines w:val="0"/>
        <w:widowControl w:val="0"/>
        <w:shd w:val="clear" w:color="auto" w:fill="auto"/>
        <w:bidi w:val="0"/>
        <w:spacing w:before="0" w:after="0" w:line="240" w:lineRule="auto"/>
        <w:ind w:left="0" w:right="0" w:firstLine="0"/>
        <w:jc w:val="left"/>
      </w:pPr>
      <w:r>
        <w:rPr>
          <w:rStyle w:val="CharStyle13"/>
        </w:rPr>
        <w:t>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смыслу статьи </w:t>
      </w:r>
      <w:r>
        <w:rPr>
          <w:rStyle w:val="CharStyle13"/>
          <w:lang w:val="en-US" w:eastAsia="en-US"/>
        </w:rPr>
        <w:t xml:space="preserve">33 </w:t>
      </w:r>
      <w:r>
        <w:rPr>
          <w:rStyle w:val="CharStyle13"/>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установлены четкие и конкретные требования к закупаемому медицинскому оборудованию с учетом потребности заказчика, что не противоречит требованиям действующего законодательства.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десятый довод подателя жалобы не находит своего подтверждения и признается Комиссией необоснованным.</w:t>
      </w:r>
    </w:p>
    <w:p>
      <w:pPr>
        <w:pStyle w:val="Style12"/>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rStyle w:val="CharStyle13"/>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13"/>
          <w:lang w:val="en-US" w:eastAsia="en-US"/>
        </w:rPr>
        <w:t xml:space="preserve">28.06.2017, </w:t>
      </w:r>
      <w:r>
        <w:rPr>
          <w:rStyle w:val="CharStyle13"/>
        </w:rPr>
        <w:t>утвержденном Президиумом Верховного Суда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 о защите конкуренции не регулирует отношения, указанные в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 </w:t>
      </w:r>
      <w:r>
        <w:rPr>
          <w:rStyle w:val="CharStyle13"/>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3"/>
          <w:lang w:val="en-US" w:eastAsia="en-US"/>
        </w:rPr>
        <w:t xml:space="preserve">17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документов, представленных заказчиком, следует, что при формировании описания объекта закупки и обосновании НМЦК на поставку оборудования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поскольку заказчик в необходимой ему мере детализировал объект закупки, 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медицинского оборудования,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Протокола подведения итогов определения поставщика (подрядчика исполнителя) </w:t>
      </w:r>
      <w:r>
        <w:rPr>
          <w:rStyle w:val="CharStyle13"/>
          <w:lang w:val="en-US" w:eastAsia="en-US"/>
        </w:rPr>
        <w:t xml:space="preserve">24.04.2026 № </w:t>
      </w:r>
      <w:r>
        <w:rPr>
          <w:rStyle w:val="CharStyle13"/>
        </w:rPr>
        <w:t xml:space="preserve">ИЭА1, на участие в закупке подано </w:t>
      </w:r>
      <w:r>
        <w:rPr>
          <w:rStyle w:val="CharStyle13"/>
          <w:lang w:val="en-US" w:eastAsia="en-US"/>
        </w:rPr>
        <w:t xml:space="preserve">2 </w:t>
      </w:r>
      <w:r>
        <w:rPr>
          <w:rStyle w:val="CharStyle13"/>
        </w:rPr>
        <w:t>заявки, все из них признаны соответствующими.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Указанное само по себе не свидетельствует об ограничении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одиннадцатый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76" w:val="left"/>
        </w:tabs>
        <w:bidi w:val="0"/>
        <w:spacing w:before="0" w:after="0" w:line="240" w:lineRule="auto"/>
        <w:ind w:left="0" w:right="0" w:firstLine="720"/>
        <w:jc w:val="both"/>
      </w:pPr>
      <w:r>
        <w:rPr>
          <w:rStyle w:val="CharStyle13"/>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двенадцатый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71" w:val="left"/>
        </w:tabs>
        <w:bidi w:val="0"/>
        <w:spacing w:before="0" w:after="0" w:line="240" w:lineRule="auto"/>
        <w:ind w:left="0" w:right="0" w:firstLine="720"/>
        <w:jc w:val="both"/>
      </w:pPr>
      <w:r>
        <w:rPr>
          <w:rStyle w:val="CharStyle13"/>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Вопреки утверждению подателя жалобы об обратном в ЕИС размещены как контактные</w:t>
      </w:r>
    </w:p>
    <w:p>
      <w:pPr>
        <w:pStyle w:val="Style12"/>
        <w:keepNext w:val="0"/>
        <w:keepLines w:val="0"/>
        <w:widowControl w:val="0"/>
        <w:shd w:val="clear" w:color="auto" w:fill="auto"/>
        <w:bidi w:val="0"/>
        <w:spacing w:before="0" w:after="0" w:line="240" w:lineRule="auto"/>
        <w:ind w:left="0" w:right="0" w:firstLine="0"/>
        <w:jc w:val="both"/>
      </w:pPr>
      <w:r>
        <w:rPr>
          <w:rStyle w:val="CharStyle13"/>
        </w:rPr>
        <w:t>данные лиц, ответственных за проводимую закупку (в разделе контактная информация), так и указано место доставки оборудования, приобретаемого по результатам проведения закупки, в проекте контракта, что не препятствует участнику закупки в расчете себестоимости поставки такого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тринадцатый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210"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Комиссией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четырнадцатый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219" w:val="left"/>
        </w:tabs>
        <w:bidi w:val="0"/>
        <w:spacing w:before="0" w:after="0" w:line="240" w:lineRule="auto"/>
        <w:ind w:left="0" w:right="0" w:firstLine="720"/>
        <w:jc w:val="both"/>
      </w:pPr>
      <w:r>
        <w:rPr>
          <w:rStyle w:val="CharStyle13"/>
        </w:rPr>
        <w:t>Податель жалобы указывает, что в Техническом задании указаны характеристики медицинского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указанному доводу Комиссия поясняет, что, как уже было указано ранее, требования к характеристикам предполагаемого к поставке товара заказчиком сформулированы в соответствии с позицией КТРУ </w:t>
      </w:r>
      <w:r>
        <w:rPr>
          <w:rStyle w:val="CharStyle13"/>
          <w:lang w:val="en-US" w:eastAsia="en-US"/>
        </w:rPr>
        <w:t>26.60.12.132.</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вышеуказанного пятнадцатый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214" w:val="left"/>
        </w:tabs>
        <w:bidi w:val="0"/>
        <w:spacing w:before="0" w:after="0" w:line="240" w:lineRule="auto"/>
        <w:ind w:left="0" w:right="0" w:firstLine="720"/>
        <w:jc w:val="both"/>
      </w:pPr>
      <w:r>
        <w:rPr>
          <w:rStyle w:val="CharStyle13"/>
        </w:rPr>
        <w:t xml:space="preserve">По мнению подателя жалобы, заказчиком не соблюдены требования Постановления </w:t>
      </w:r>
      <w:r>
        <w:rPr>
          <w:rStyle w:val="CharStyle13"/>
          <w:lang w:val="en-US" w:eastAsia="en-US"/>
        </w:rPr>
        <w:t>№ 2014.</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подателя жалобы на то, что Постановление </w:t>
      </w:r>
      <w:r>
        <w:rPr>
          <w:rStyle w:val="CharStyle13"/>
          <w:lang w:val="en-US" w:eastAsia="en-US"/>
        </w:rPr>
        <w:t xml:space="preserve">№ 2014 </w:t>
      </w:r>
      <w:r>
        <w:rPr>
          <w:rStyle w:val="CharStyle13"/>
        </w:rPr>
        <w:t xml:space="preserve">утратило силу с </w:t>
      </w:r>
      <w:r>
        <w:rPr>
          <w:rStyle w:val="CharStyle13"/>
          <w:lang w:val="en-US" w:eastAsia="en-US"/>
        </w:rPr>
        <w:t xml:space="preserve">01.01.2025 </w:t>
      </w:r>
      <w:r>
        <w:rPr>
          <w:rStyle w:val="CharStyle13"/>
        </w:rPr>
        <w:t xml:space="preserve">в связи с принятием Постановления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Постановления </w:t>
      </w:r>
      <w:r>
        <w:rPr>
          <w:rStyle w:val="CharStyle13"/>
          <w:lang w:val="en-US" w:eastAsia="en-US"/>
        </w:rPr>
        <w:t xml:space="preserve">№ 1875 </w:t>
      </w:r>
      <w:r>
        <w:rPr>
          <w:rStyle w:val="CharStyle13"/>
        </w:rPr>
        <w:t xml:space="preserve">минимальная обязательная доля закупок товаров российского происхождения применяется в целях осуществления закупок в соответствии с Федеральным законом от </w:t>
      </w:r>
      <w:r>
        <w:rPr>
          <w:rStyle w:val="CharStyle13"/>
          <w:lang w:val="en-US" w:eastAsia="en-US"/>
        </w:rPr>
        <w:t xml:space="preserve">18.07.2011 № </w:t>
      </w:r>
      <w:r>
        <w:rPr>
          <w:rStyle w:val="CharStyle13"/>
        </w:rPr>
        <w:t>223-ФЗ «О закупках товаров, работ, услуг отдельными видами юридических лиц».</w:t>
      </w:r>
    </w:p>
    <w:p>
      <w:pPr>
        <w:pStyle w:val="Style12"/>
        <w:keepNext w:val="0"/>
        <w:keepLines w:val="0"/>
        <w:widowControl w:val="0"/>
        <w:shd w:val="clear" w:color="auto" w:fill="auto"/>
        <w:bidi w:val="0"/>
        <w:spacing w:before="0" w:after="0" w:line="240" w:lineRule="auto"/>
        <w:ind w:left="0" w:right="0" w:firstLine="720"/>
        <w:jc w:val="both"/>
      </w:pPr>
      <w:r>
        <w:rPr>
          <w:rStyle w:val="CharStyle13"/>
        </w:rPr>
        <w:t>Рассматриваемая закупка осуществляется в соответствии с требованиями Закона о контрактной системе, соответственно, положения о минимальной обязательной доле закупок товаров российского происхождения к ней не применимы.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Кроме того, согласно пункту </w:t>
      </w:r>
      <w:r>
        <w:rPr>
          <w:rStyle w:val="CharStyle13"/>
          <w:lang w:val="en-US" w:eastAsia="en-US"/>
        </w:rPr>
        <w:t xml:space="preserve">5 </w:t>
      </w:r>
      <w:r>
        <w:rPr>
          <w:rStyle w:val="CharStyle13"/>
        </w:rPr>
        <w:t xml:space="preserve">Постановления </w:t>
      </w:r>
      <w:r>
        <w:rPr>
          <w:rStyle w:val="CharStyle13"/>
          <w:lang w:val="en-US" w:eastAsia="en-US"/>
        </w:rPr>
        <w:t xml:space="preserve">№ 2014 </w:t>
      </w:r>
      <w:r>
        <w:rPr>
          <w:rStyle w:val="CharStyle13"/>
        </w:rPr>
        <w:t>федеральным органом исполнительной власти,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 учетом изложенного Комиссия не обладает полномочиями по рассмотрению жалобы в рассматриваемой части на предмет соблюдения заказчиком условий, предусмотренных Постановлением </w:t>
      </w:r>
      <w:r>
        <w:rPr>
          <w:rStyle w:val="CharStyle13"/>
          <w:lang w:val="en-US" w:eastAsia="en-US"/>
        </w:rPr>
        <w:t>№ 2014.</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Соответственно, шестнадцатый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200" w:val="left"/>
        </w:tabs>
        <w:bidi w:val="0"/>
        <w:spacing w:before="0" w:after="0" w:line="240" w:lineRule="auto"/>
        <w:ind w:left="0" w:right="0" w:firstLine="720"/>
        <w:jc w:val="both"/>
      </w:pPr>
      <w:r>
        <w:rPr>
          <w:rStyle w:val="CharStyle13"/>
        </w:rPr>
        <w:t xml:space="preserve">Податель жалобы указывает, что заказчик неправомерно не применил положения Постановления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доводов Заявителя о том, что при проведении закупки заказчиком неправомерно не применены положения Постановления </w:t>
      </w:r>
      <w:r>
        <w:rPr>
          <w:rStyle w:val="CharStyle13"/>
          <w:lang w:val="en-US" w:eastAsia="en-US"/>
        </w:rPr>
        <w:t xml:space="preserve">№ 1236, </w:t>
      </w:r>
      <w:r>
        <w:rPr>
          <w:rStyle w:val="CharStyle13"/>
        </w:rPr>
        <w:t xml:space="preserve">неоднозначно сформулированы требования в отношении программного обеспечения, фактически закупается программа </w:t>
      </w:r>
      <w:r>
        <w:rPr>
          <w:rStyle w:val="CharStyle13"/>
          <w:lang w:val="en-US" w:eastAsia="en-US"/>
        </w:rPr>
        <w:t xml:space="preserve">DICOM </w:t>
      </w:r>
      <w:r>
        <w:rPr>
          <w:rStyle w:val="CharStyle13"/>
        </w:rPr>
        <w:t>которая является самостоятельным продуктом и ее необходимо закупать отдельно,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об осуществлении закупки, запрет, предусмотренный положениями Постановления </w:t>
      </w:r>
      <w:r>
        <w:rPr>
          <w:rStyle w:val="CharStyle13"/>
          <w:lang w:val="en-US" w:eastAsia="en-US"/>
        </w:rPr>
        <w:t xml:space="preserve">№ 1236, </w:t>
      </w:r>
      <w:r>
        <w:rPr>
          <w:rStyle w:val="CharStyle13"/>
        </w:rPr>
        <w:t>заказчиком не установлен.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13"/>
          <w:lang w:val="en-US" w:eastAsia="en-US"/>
        </w:rPr>
        <w:t xml:space="preserve">DICOM), </w:t>
      </w:r>
      <w:r>
        <w:rPr>
          <w:rStyle w:val="CharStyle13"/>
        </w:rPr>
        <w:t xml:space="preserve">в связи с чем заказчик был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3"/>
          <w:lang w:val="en-US" w:eastAsia="en-US"/>
        </w:rPr>
        <w:t>№ 1236.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что с </w:t>
      </w:r>
      <w:r>
        <w:rPr>
          <w:rStyle w:val="CharStyle13"/>
          <w:lang w:val="en-US" w:eastAsia="en-US"/>
        </w:rPr>
        <w:t xml:space="preserve">01.01.2025 </w:t>
      </w:r>
      <w:r>
        <w:rPr>
          <w:rStyle w:val="CharStyle13"/>
        </w:rPr>
        <w:t xml:space="preserve">пункты </w:t>
      </w:r>
      <w:r>
        <w:rPr>
          <w:rStyle w:val="CharStyle13"/>
          <w:lang w:val="en-US" w:eastAsia="en-US"/>
        </w:rPr>
        <w:t xml:space="preserve">2, 2(1) </w:t>
      </w:r>
      <w:r>
        <w:rPr>
          <w:rStyle w:val="CharStyle13"/>
        </w:rPr>
        <w:t xml:space="preserve">Постановления </w:t>
      </w:r>
      <w:r>
        <w:rPr>
          <w:rStyle w:val="CharStyle13"/>
          <w:lang w:val="en-US" w:eastAsia="en-US"/>
        </w:rPr>
        <w:t xml:space="preserve">№ 1236 </w:t>
      </w:r>
      <w:r>
        <w:rPr>
          <w:rStyle w:val="CharStyle13"/>
        </w:rPr>
        <w:t>утратили силу.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в соответствии с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xml:space="preserve">№ 1875, </w:t>
      </w:r>
      <w:r>
        <w:rPr>
          <w:rStyle w:val="CharStyle13"/>
        </w:rPr>
        <w:t xml:space="preserve">для целей Постановления </w:t>
      </w:r>
      <w:r>
        <w:rPr>
          <w:rStyle w:val="CharStyle13"/>
          <w:lang w:val="en-US" w:eastAsia="en-US"/>
        </w:rPr>
        <w:t xml:space="preserve">№ 1875 </w:t>
      </w:r>
      <w:r>
        <w:rPr>
          <w:rStyle w:val="CharStyle13"/>
        </w:rPr>
        <w:t xml:space="preserve">под программным обеспечением, указанным в позиции </w:t>
      </w:r>
      <w:r>
        <w:rPr>
          <w:rStyle w:val="CharStyle13"/>
          <w:lang w:val="en-US" w:eastAsia="en-US"/>
        </w:rPr>
        <w:t xml:space="preserve">146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понимается программное обеспечение и (или) права на него возникшие вследствие:</w:t>
      </w:r>
    </w:p>
    <w:p>
      <w:pPr>
        <w:pStyle w:val="Style12"/>
        <w:keepNext w:val="0"/>
        <w:keepLines w:val="0"/>
        <w:widowControl w:val="0"/>
        <w:numPr>
          <w:ilvl w:val="0"/>
          <w:numId w:val="3"/>
        </w:numPr>
        <w:shd w:val="clear" w:color="auto" w:fill="auto"/>
        <w:tabs>
          <w:tab w:pos="1229" w:val="left"/>
        </w:tabs>
        <w:bidi w:val="0"/>
        <w:spacing w:before="0" w:after="0" w:line="240" w:lineRule="auto"/>
        <w:ind w:left="0" w:right="0" w:firstLine="720"/>
        <w:jc w:val="both"/>
      </w:pPr>
      <w:r>
        <w:rPr>
          <w:rStyle w:val="CharStyle13"/>
        </w:rPr>
        <w:t>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numPr>
          <w:ilvl w:val="0"/>
          <w:numId w:val="3"/>
        </w:numPr>
        <w:shd w:val="clear" w:color="auto" w:fill="auto"/>
        <w:tabs>
          <w:tab w:pos="1234" w:val="left"/>
        </w:tabs>
        <w:bidi w:val="0"/>
        <w:spacing w:before="0" w:after="0" w:line="240" w:lineRule="auto"/>
        <w:ind w:left="0" w:right="0" w:firstLine="720"/>
        <w:jc w:val="both"/>
      </w:pPr>
      <w:r>
        <w:rPr>
          <w:rStyle w:val="CharStyle13"/>
        </w:rPr>
        <w:t>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numPr>
          <w:ilvl w:val="0"/>
          <w:numId w:val="3"/>
        </w:numPr>
        <w:shd w:val="clear" w:color="auto" w:fill="auto"/>
        <w:tabs>
          <w:tab w:pos="1272" w:val="left"/>
        </w:tabs>
        <w:bidi w:val="0"/>
        <w:spacing w:before="0" w:after="0" w:line="240" w:lineRule="auto"/>
        <w:ind w:left="0" w:right="0" w:firstLine="720"/>
        <w:jc w:val="both"/>
      </w:pPr>
      <w:r>
        <w:rPr>
          <w:rStyle w:val="CharStyle13"/>
        </w:rPr>
        <w:t>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закупке рассматриваемого медицинского оборудования используется код ОКПД </w:t>
      </w:r>
      <w:r>
        <w:rPr>
          <w:rStyle w:val="CharStyle13"/>
          <w:lang w:val="en-US" w:eastAsia="en-US"/>
        </w:rPr>
        <w:t>2: 26.60.12.132.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Приказом Министерства цифрового развития, связи и массовых коммуникаций РФ от </w:t>
      </w:r>
      <w:r>
        <w:rPr>
          <w:rStyle w:val="CharStyle13"/>
          <w:lang w:val="en-US" w:eastAsia="en-US"/>
        </w:rPr>
        <w:t xml:space="preserve">22.09.2020 № 486 </w:t>
      </w:r>
      <w:r>
        <w:rPr>
          <w:rStyle w:val="CharStyle13"/>
        </w:rPr>
        <w:t>«Об утверждении классификатора программ для электронных вычислительных машин и баз данных», приводится перечень отраслевого прикладного программного обеспечения для решения отраслевых задач в области здравоохранения. Данное программное обеспечение предназначено для обеспечения деятельности в медицинских организациях, включая автоматизацию управления лечебно-профилактическими учреждениями, системы управления медицинской техникой, системы сбора, хранения и обработки данных. Он включает в себя следующие коды:</w:t>
      </w:r>
    </w:p>
    <w:p>
      <w:pPr>
        <w:pStyle w:val="Style12"/>
        <w:keepNext w:val="0"/>
        <w:keepLines w:val="0"/>
        <w:widowControl w:val="0"/>
        <w:numPr>
          <w:ilvl w:val="0"/>
          <w:numId w:val="9"/>
        </w:numPr>
        <w:shd w:val="clear" w:color="auto" w:fill="auto"/>
        <w:tabs>
          <w:tab w:pos="1094" w:val="left"/>
        </w:tabs>
        <w:bidi w:val="0"/>
        <w:spacing w:before="0" w:after="0" w:line="240" w:lineRule="auto"/>
        <w:ind w:left="0" w:right="0" w:firstLine="720"/>
        <w:jc w:val="both"/>
      </w:pPr>
      <w:r>
        <w:rPr>
          <w:rStyle w:val="CharStyle13"/>
          <w:lang w:val="en-US" w:eastAsia="en-US"/>
        </w:rPr>
        <w:t>12.21.58.29.2;</w:t>
      </w:r>
    </w:p>
    <w:p>
      <w:pPr>
        <w:pStyle w:val="Style12"/>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rStyle w:val="CharStyle13"/>
          <w:lang w:val="en-US" w:eastAsia="en-US"/>
        </w:rPr>
        <w:t>12.21.58.29.3;</w:t>
      </w:r>
    </w:p>
    <w:p>
      <w:pPr>
        <w:pStyle w:val="Style12"/>
        <w:keepNext w:val="0"/>
        <w:keepLines w:val="0"/>
        <w:widowControl w:val="0"/>
        <w:numPr>
          <w:ilvl w:val="0"/>
          <w:numId w:val="9"/>
        </w:numPr>
        <w:shd w:val="clear" w:color="auto" w:fill="auto"/>
        <w:tabs>
          <w:tab w:pos="1094" w:val="left"/>
        </w:tabs>
        <w:bidi w:val="0"/>
        <w:spacing w:before="0" w:after="0" w:line="240" w:lineRule="auto"/>
        <w:ind w:left="0" w:right="0" w:firstLine="720"/>
        <w:jc w:val="both"/>
      </w:pPr>
      <w:r>
        <w:rPr>
          <w:rStyle w:val="CharStyle13"/>
          <w:lang w:val="en-US" w:eastAsia="en-US"/>
        </w:rPr>
        <w:t>12.21.58.29.32</w:t>
      </w:r>
    </w:p>
    <w:p>
      <w:pPr>
        <w:pStyle w:val="Style12"/>
        <w:keepNext w:val="0"/>
        <w:keepLines w:val="0"/>
        <w:widowControl w:val="0"/>
        <w:numPr>
          <w:ilvl w:val="0"/>
          <w:numId w:val="9"/>
        </w:numPr>
        <w:shd w:val="clear" w:color="auto" w:fill="auto"/>
        <w:tabs>
          <w:tab w:pos="1090" w:val="left"/>
        </w:tabs>
        <w:bidi w:val="0"/>
        <w:spacing w:before="0" w:after="0" w:line="240" w:lineRule="auto"/>
        <w:ind w:left="0" w:right="0" w:firstLine="720"/>
        <w:jc w:val="both"/>
      </w:pPr>
      <w:r>
        <w:rPr>
          <w:rStyle w:val="CharStyle13"/>
          <w:lang w:val="en-US" w:eastAsia="en-US"/>
        </w:rPr>
        <w:t>12.21.58.29.4;</w:t>
      </w:r>
    </w:p>
    <w:p>
      <w:pPr>
        <w:pStyle w:val="Style12"/>
        <w:keepNext w:val="0"/>
        <w:keepLines w:val="0"/>
        <w:widowControl w:val="0"/>
        <w:numPr>
          <w:ilvl w:val="0"/>
          <w:numId w:val="9"/>
        </w:numPr>
        <w:shd w:val="clear" w:color="auto" w:fill="auto"/>
        <w:tabs>
          <w:tab w:pos="1090" w:val="left"/>
        </w:tabs>
        <w:bidi w:val="0"/>
        <w:spacing w:before="0" w:after="0" w:line="240" w:lineRule="auto"/>
        <w:ind w:left="0" w:right="0" w:firstLine="720"/>
        <w:jc w:val="both"/>
      </w:pPr>
      <w:r>
        <w:rPr>
          <w:rStyle w:val="CharStyle13"/>
          <w:lang w:val="en-US" w:eastAsia="en-US"/>
        </w:rPr>
        <w:t>12.21.62;</w:t>
      </w:r>
    </w:p>
    <w:p>
      <w:pPr>
        <w:pStyle w:val="Style12"/>
        <w:keepNext w:val="0"/>
        <w:keepLines w:val="0"/>
        <w:widowControl w:val="0"/>
        <w:numPr>
          <w:ilvl w:val="0"/>
          <w:numId w:val="9"/>
        </w:numPr>
        <w:shd w:val="clear" w:color="auto" w:fill="auto"/>
        <w:tabs>
          <w:tab w:pos="1085" w:val="left"/>
        </w:tabs>
        <w:bidi w:val="0"/>
        <w:spacing w:before="0" w:after="0" w:line="240" w:lineRule="auto"/>
        <w:ind w:left="0" w:right="0" w:firstLine="720"/>
        <w:jc w:val="both"/>
      </w:pPr>
      <w:r>
        <w:rPr>
          <w:rStyle w:val="CharStyle13"/>
          <w:lang w:val="en-US" w:eastAsia="en-US"/>
        </w:rPr>
        <w:t>12.21.62.01.2;</w:t>
      </w:r>
    </w:p>
    <w:p>
      <w:pPr>
        <w:pStyle w:val="Style12"/>
        <w:keepNext w:val="0"/>
        <w:keepLines w:val="0"/>
        <w:widowControl w:val="0"/>
        <w:numPr>
          <w:ilvl w:val="0"/>
          <w:numId w:val="9"/>
        </w:numPr>
        <w:shd w:val="clear" w:color="auto" w:fill="auto"/>
        <w:tabs>
          <w:tab w:pos="1061" w:val="left"/>
        </w:tabs>
        <w:bidi w:val="0"/>
        <w:spacing w:before="0" w:after="0" w:line="240" w:lineRule="auto"/>
        <w:ind w:left="0" w:right="0" w:firstLine="720"/>
        <w:jc w:val="both"/>
      </w:pPr>
      <w:r>
        <w:rPr>
          <w:rStyle w:val="CharStyle13"/>
          <w:lang w:val="en-US" w:eastAsia="en-US"/>
        </w:rPr>
        <w:t>12.21.62.01.29.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данном перечне отсутствует код Общероссийского классификатора продукции по видам экономической деятельности </w:t>
      </w:r>
      <w:r>
        <w:rPr>
          <w:rStyle w:val="CharStyle13"/>
          <w:lang w:val="en-US" w:eastAsia="en-US"/>
        </w:rPr>
        <w:t xml:space="preserve">26.60.12.132. </w:t>
      </w:r>
      <w:r>
        <w:rPr>
          <w:rStyle w:val="CharStyle13"/>
        </w:rPr>
        <w:t>Предметом данной закупки является оборудование, а не программное обеспечение.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Все программы, поставляемые вместе с оборудованием являются микропрограммами. Микропрограмма </w:t>
      </w:r>
      <w:r>
        <w:rPr>
          <w:rStyle w:val="CharStyle13"/>
          <w:lang w:val="en-US" w:eastAsia="en-US"/>
        </w:rPr>
        <w:t xml:space="preserve">— </w:t>
      </w:r>
      <w:r>
        <w:rPr>
          <w:rStyle w:val="CharStyle13"/>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вышеизложенных положений Постановления </w:t>
      </w:r>
      <w:r>
        <w:rPr>
          <w:rStyle w:val="CharStyle13"/>
          <w:lang w:val="en-US" w:eastAsia="en-US"/>
        </w:rPr>
        <w:t xml:space="preserve">№ 1875 </w:t>
      </w:r>
      <w:r>
        <w:rPr>
          <w:rStyle w:val="CharStyle13"/>
        </w:rPr>
        <w:t xml:space="preserve">следует, что под программным обеспечением, в рамках Постановления </w:t>
      </w:r>
      <w:r>
        <w:rPr>
          <w:rStyle w:val="CharStyle13"/>
          <w:lang w:val="en-US" w:eastAsia="en-US"/>
        </w:rPr>
        <w:t xml:space="preserve">№ 1875 </w:t>
      </w:r>
      <w:r>
        <w:rPr>
          <w:rStyle w:val="CharStyle13"/>
        </w:rPr>
        <w:t xml:space="preserve">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13"/>
          <w:lang w:val="en-US" w:eastAsia="en-US"/>
        </w:rPr>
        <w:t>30.04.2020 № 24-03-06/35429.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ходе анализа положений извещения об осуществлении закупки показал Комиссии,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Постановлением </w:t>
      </w:r>
      <w:r>
        <w:rPr>
          <w:rStyle w:val="CharStyle13"/>
          <w:lang w:val="en-US" w:eastAsia="en-US"/>
        </w:rPr>
        <w:t xml:space="preserve">№ 1875, </w:t>
      </w:r>
      <w:r>
        <w:rPr>
          <w:rStyle w:val="CharStyle13"/>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Указанные выводы подтверждаются письмами ФАС России от </w:t>
      </w:r>
      <w:r>
        <w:rPr>
          <w:rStyle w:val="CharStyle13"/>
          <w:lang w:val="en-US" w:eastAsia="en-US"/>
        </w:rPr>
        <w:t xml:space="preserve">03.02.2023 № </w:t>
      </w:r>
      <w:r>
        <w:rPr>
          <w:rStyle w:val="CharStyle13"/>
        </w:rPr>
        <w:t xml:space="preserve">ПИ/7495/23 Минцифры России от </w:t>
      </w:r>
      <w:r>
        <w:rPr>
          <w:rStyle w:val="CharStyle13"/>
          <w:lang w:val="en-US" w:eastAsia="en-US"/>
        </w:rPr>
        <w:t xml:space="preserve">15.12.2022 № </w:t>
      </w:r>
      <w:r>
        <w:rPr>
          <w:rStyle w:val="CharStyle13"/>
        </w:rPr>
        <w:t>П11-2-05-106-94501.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вышеизложенного, Комиссия приходит к выводу о том, что неустановление заказчиком запрета, предусмотренного Постановлением </w:t>
      </w:r>
      <w:r>
        <w:rPr>
          <w:rStyle w:val="CharStyle13"/>
          <w:lang w:val="en-US" w:eastAsia="en-US"/>
        </w:rPr>
        <w:t xml:space="preserve">№ 1875, </w:t>
      </w:r>
      <w:r>
        <w:rPr>
          <w:rStyle w:val="CharStyle13"/>
        </w:rPr>
        <w:t>является правомерным и не противоречит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семнадцатый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1"/>
        </w:numPr>
        <w:shd w:val="clear" w:color="auto" w:fill="auto"/>
        <w:tabs>
          <w:tab w:pos="1176" w:val="left"/>
        </w:tabs>
        <w:bidi w:val="0"/>
        <w:spacing w:before="0" w:after="0" w:line="240" w:lineRule="auto"/>
        <w:ind w:left="0" w:right="0" w:firstLine="720"/>
        <w:jc w:val="both"/>
      </w:pPr>
      <w:r>
        <w:rPr>
          <w:rStyle w:val="CharStyle13"/>
        </w:rPr>
        <w:t xml:space="preserve">Податель жалобы указывает, что 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положений извещения об осуществлении закупки Комиссия не может прийти к выводу о том, что заказчиком закупается именно программа </w:t>
      </w:r>
      <w:r>
        <w:rPr>
          <w:rStyle w:val="CharStyle13"/>
          <w:lang w:val="en-US" w:eastAsia="en-US"/>
        </w:rPr>
        <w:t xml:space="preserve">DICOM, </w:t>
      </w:r>
      <w:r>
        <w:rPr>
          <w:rStyle w:val="CharStyle13"/>
        </w:rPr>
        <w:t xml:space="preserve">а не составная часть оборудования, обеспечивающая передачу данных по протоколу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восемнадцатый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w:t>
      </w:r>
    </w:p>
    <w:p>
      <w:pPr>
        <w:pStyle w:val="Style12"/>
        <w:keepNext w:val="0"/>
        <w:keepLines w:val="0"/>
        <w:widowControl w:val="0"/>
        <w:shd w:val="clear" w:color="auto" w:fill="auto"/>
        <w:bidi w:val="0"/>
        <w:spacing w:before="0" w:after="0" w:line="240" w:lineRule="auto"/>
        <w:ind w:left="0" w:right="0" w:firstLine="0"/>
        <w:jc w:val="left"/>
      </w:pPr>
      <w:r>
        <w:rPr>
          <w:rStyle w:val="CharStyle13"/>
        </w:rPr>
        <w:t>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Нарушений в части формирования проекта контракта, вопреки указанию подателя жалобы Комиссией также не установлено.</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3"/>
          <w:lang w:val="en-US" w:eastAsia="en-US"/>
        </w:rPr>
        <w:t xml:space="preserve">3, </w:t>
      </w:r>
      <w:r>
        <w:rPr>
          <w:rStyle w:val="CharStyle13"/>
        </w:rPr>
        <w:t xml:space="preserve">пунктом </w:t>
      </w:r>
      <w:r>
        <w:rPr>
          <w:rStyle w:val="CharStyle13"/>
          <w:lang w:val="en-US" w:eastAsia="en-US"/>
        </w:rPr>
        <w:t xml:space="preserve">3 </w:t>
      </w:r>
      <w:r>
        <w:rPr>
          <w:rStyle w:val="CharStyle13"/>
        </w:rPr>
        <w:t xml:space="preserve">части </w:t>
      </w:r>
      <w:r>
        <w:rPr>
          <w:rStyle w:val="CharStyle13"/>
          <w:lang w:val="en-US" w:eastAsia="en-US"/>
        </w:rPr>
        <w:t xml:space="preserve">8 </w:t>
      </w:r>
      <w:r>
        <w:rPr>
          <w:rStyle w:val="CharStyle13"/>
        </w:rPr>
        <w:t xml:space="preserve">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13"/>
        </w:numPr>
        <w:shd w:val="clear" w:color="auto" w:fill="auto"/>
        <w:tabs>
          <w:tab w:pos="1102" w:val="left"/>
        </w:tabs>
        <w:bidi w:val="0"/>
        <w:spacing w:before="0" w:after="0" w:line="240" w:lineRule="auto"/>
        <w:ind w:left="0" w:right="0" w:firstLine="720"/>
        <w:jc w:val="both"/>
      </w:pPr>
      <w:r>
        <w:rPr>
          <w:rStyle w:val="CharStyle13"/>
        </w:rPr>
        <w:t>Признать жалобу ИП Кравченко А.В. необоснованной.</w:t>
      </w:r>
    </w:p>
    <w:p>
      <w:pPr>
        <w:pStyle w:val="Style12"/>
        <w:keepNext w:val="0"/>
        <w:keepLines w:val="0"/>
        <w:widowControl w:val="0"/>
        <w:numPr>
          <w:ilvl w:val="0"/>
          <w:numId w:val="13"/>
        </w:numPr>
        <w:shd w:val="clear" w:color="auto" w:fill="auto"/>
        <w:tabs>
          <w:tab w:pos="1093" w:val="left"/>
        </w:tabs>
        <w:bidi w:val="0"/>
        <w:spacing w:before="0" w:after="0" w:line="240" w:lineRule="auto"/>
        <w:ind w:left="0" w:right="0" w:firstLine="720"/>
        <w:jc w:val="both"/>
      </w:pPr>
      <w:r>
        <w:rPr>
          <w:rStyle w:val="CharStyle13"/>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12"/>
        <w:keepNext w:val="0"/>
        <w:keepLines w:val="0"/>
        <w:widowControl w:val="0"/>
        <w:shd w:val="clear" w:color="auto" w:fill="auto"/>
        <w:bidi w:val="0"/>
        <w:spacing w:before="0" w:after="58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2"/>
        <w:keepNext w:val="0"/>
        <w:keepLines w:val="0"/>
        <w:widowControl w:val="0"/>
        <w:shd w:val="clear" w:color="auto" w:fill="auto"/>
        <w:bidi w:val="0"/>
        <w:spacing w:before="0" w:after="5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6231255</wp:posOffset>
                </wp:positionH>
                <wp:positionV relativeFrom="paragraph">
                  <wp:posOffset>12700</wp:posOffset>
                </wp:positionV>
                <wp:extent cx="956945" cy="216535"/>
                <wp:wrapSquare wrapText="left"/>
                <wp:docPr id="7" name="Shape 7"/>
                <a:graphic xmlns:a="http://schemas.openxmlformats.org/drawingml/2006/main">
                  <a:graphicData uri="http://schemas.microsoft.com/office/word/2010/wordprocessingShape">
                    <wps:wsp>
                      <wps:cNvSpPr txBox="1"/>
                      <wps:spPr>
                        <a:xfrm>
                          <a:ext cx="95694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wps:txbx>
                      <wps:bodyPr wrap="none" lIns="0" tIns="0" rIns="0" bIns="0">
                        <a:noAutoFit/>
                      </wps:bodyPr>
                    </wps:wsp>
                  </a:graphicData>
                </a:graphic>
              </wp:anchor>
            </w:drawing>
          </mc:Choice>
          <mc:Fallback>
            <w:pict>
              <v:shape id="_x0000_s1033" type="#_x0000_t202" style="position:absolute;margin-left:490.65000000000003pt;margin-top:1.pt;width:75.350000000000009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8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702310</wp:posOffset>
                </wp:positionH>
                <wp:positionV relativeFrom="paragraph">
                  <wp:posOffset>12700</wp:posOffset>
                </wp:positionV>
                <wp:extent cx="1139825" cy="216535"/>
                <wp:wrapSquare wrapText="bothSides"/>
                <wp:docPr id="9" name="Shape 9"/>
                <a:graphic xmlns:a="http://schemas.openxmlformats.org/drawingml/2006/main">
                  <a:graphicData uri="http://schemas.microsoft.com/office/word/2010/wordprocessingShape">
                    <wps:wsp>
                      <wps:cNvSpPr txBox="1"/>
                      <wps:spPr>
                        <a:xfrm>
                          <a:ext cx="113982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35" type="#_x0000_t202" style="position:absolute;margin-left:55.300000000000004pt;margin-top:1.pt;width:89.75pt;height:17.050000000000001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square" anchorx="page"/>
              </v:shape>
            </w:pict>
          </mc:Fallback>
        </mc:AlternateContent>
      </w:r>
      <w:r>
        <w:rPr>
          <w:rStyle w:val="CharStyle13"/>
        </w:rPr>
        <w:t>Н.С. Криворучкин</w:t>
      </w:r>
    </w:p>
    <w:p>
      <w:pPr>
        <w:pStyle w:val="Style12"/>
        <w:keepNext w:val="0"/>
        <w:keepLines w:val="0"/>
        <w:widowControl w:val="0"/>
        <w:shd w:val="clear" w:color="auto" w:fill="auto"/>
        <w:bidi w:val="0"/>
        <w:spacing w:before="0" w:after="580" w:line="240" w:lineRule="auto"/>
        <w:ind w:left="0" w:right="0" w:firstLine="0"/>
        <w:jc w:val="right"/>
      </w:pPr>
      <w:r>
        <w:rPr>
          <w:rStyle w:val="CharStyle13"/>
        </w:rPr>
        <w:t>А.О. Сидоров</w:t>
      </w:r>
    </w:p>
    <w:sectPr>
      <w:footnotePr>
        <w:pos w:val="pageBottom"/>
        <w:numFmt w:val="decimal"/>
        <w:numRestart w:val="continuous"/>
      </w:footnotePr>
      <w:type w:val="continuous"/>
      <w:pgSz w:w="11900" w:h="16840"/>
      <w:pgMar w:top="317" w:right="534" w:bottom="1173"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10011410</wp:posOffset>
              </wp:positionV>
              <wp:extent cx="6455410" cy="125095"/>
              <wp:wrapNone/>
              <wp:docPr id="3" name="Shape 3"/>
              <a:graphic xmlns:a="http://schemas.openxmlformats.org/drawingml/2006/main">
                <a:graphicData uri="http://schemas.microsoft.com/office/word/2010/wordprocessingShape">
                  <wps:wsp>
                    <wps:cNvSpPr txBox="1"/>
                    <wps:spPr>
                      <a:xfrm>
                        <a:ext cx="6455410" cy="125095"/>
                      </a:xfrm>
                      <a:prstGeom prst="rect"/>
                      <a:noFill/>
                    </wps:spPr>
                    <wps:txbx>
                      <w:txbxContent>
                        <w:p>
                          <w:pPr>
                            <w:pStyle w:val="Style2"/>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3"/>
                              <w:sz w:val="24"/>
                              <w:szCs w:val="24"/>
                            </w:rPr>
                            <w:t>2026-6326</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788.30000000000007pt;width:508.30000000000001pt;height:9.8499999999999996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3"/>
                        <w:sz w:val="24"/>
                        <w:szCs w:val="24"/>
                      </w:rPr>
                      <w:t>2026-6326</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52145" cy="125095"/>
              <wp:wrapNone/>
              <wp:docPr id="5" name="Shape 5"/>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2026-6326</w:t>
                          </w:r>
                        </w:p>
                      </w:txbxContent>
                    </wps:txbx>
                    <wps:bodyPr wrap="none" lIns="0" tIns="0" rIns="0" bIns="0">
                      <a:spAutoFit/>
                    </wps:bodyPr>
                  </wps:wsp>
                </a:graphicData>
              </a:graphic>
            </wp:anchor>
          </w:drawing>
        </mc:Choice>
        <mc:Fallback>
          <w:pict>
            <v:shape id="_x0000_s1031" type="#_x0000_t202" style="position:absolute;margin-left:56.75pt;margin-top:775.95000000000005pt;width:51.3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2026-6326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8"/>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1"/>
    <w:basedOn w:val="Normal"/>
    <w:link w:val="CharStyle15"/>
    <w:pPr>
      <w:widowControl w:val="0"/>
      <w:shd w:val="clear" w:color="auto" w:fill="auto"/>
      <w:spacing w:after="3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