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50" w:h="1298" w:wrap="none" w:hAnchor="page" w:x="1451" w:y="1122"/>
        <w:widowControl w:val="0"/>
        <w:shd w:val="clear" w:color="auto" w:fill="auto"/>
        <w:bidi w:val="0"/>
        <w:spacing w:before="0" w:after="120" w:line="293"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550" w:h="1298" w:wrap="none" w:hAnchor="page" w:x="1451" w:y="1122"/>
        <w:widowControl w:val="0"/>
        <w:shd w:val="clear" w:color="auto" w:fill="auto"/>
        <w:bidi w:val="0"/>
        <w:spacing w:before="0" w:after="0" w:line="240" w:lineRule="auto"/>
        <w:ind w:left="0" w:right="0" w:firstLine="0"/>
        <w:jc w:val="center"/>
      </w:pPr>
      <w:r>
        <w:rPr>
          <w:rStyle w:val="CharStyle6"/>
          <w:b/>
          <w:bCs/>
        </w:rPr>
        <w:t>УПРАВЛЕНИЕ</w:t>
        <w:br/>
        <w:t>Федеральной антимонопольной службы</w:t>
        <w:br/>
        <w:t>по Томской области</w:t>
      </w:r>
    </w:p>
    <w:p>
      <w:pPr>
        <w:pStyle w:val="Style2"/>
        <w:keepNext w:val="0"/>
        <w:keepLines w:val="0"/>
        <w:framePr w:w="3821" w:h="1217" w:wrap="none" w:hAnchor="page" w:x="1302" w:y="2600"/>
        <w:widowControl w:val="0"/>
        <w:shd w:val="clear" w:color="auto" w:fill="auto"/>
        <w:bidi w:val="0"/>
        <w:spacing w:before="0"/>
        <w:ind w:left="0" w:right="0" w:firstLine="0"/>
        <w:jc w:val="center"/>
      </w:pPr>
      <w:r>
        <w:rPr>
          <w:rStyle w:val="CharStyle3"/>
        </w:rPr>
        <w:t>Адрес места нахождения: г.Томск, пр-кт. Ленина, 111</w:t>
        <w:br/>
        <w:t>Почтовый адрес: 634069, г.Томск, пр-кт. Ленина, 111</w:t>
        <w:br/>
        <w:t>тел. (3822) 51-50-61, факс (3822) 51-29-80</w:t>
        <w:br/>
      </w:r>
      <w:r>
        <w:rPr>
          <w:rStyle w:val="CharStyle3"/>
          <w:lang w:val="en-US" w:eastAsia="en-US"/>
        </w:rPr>
        <w:t xml:space="preserve">e-mail: </w:t>
      </w:r>
      <w:r>
        <w:fldChar w:fldCharType="begin"/>
      </w:r>
      <w:r>
        <w:rPr/>
        <w:instrText> HYPERLINK "mailto:to70@fas.gov.ru" </w:instrText>
      </w:r>
      <w:r>
        <w:fldChar w:fldCharType="separate"/>
      </w:r>
      <w:r>
        <w:rPr>
          <w:rStyle w:val="CharStyle3"/>
          <w:lang w:val="en-US" w:eastAsia="en-US"/>
        </w:rPr>
        <w:t>to70@fas.gov.ru</w:t>
      </w:r>
      <w:r>
        <w:fldChar w:fldCharType="end"/>
      </w:r>
    </w:p>
    <w:p>
      <w:pPr>
        <w:pStyle w:val="Style7"/>
        <w:keepNext w:val="0"/>
        <w:keepLines w:val="0"/>
        <w:framePr w:w="3821" w:h="1217" w:wrap="none" w:hAnchor="page" w:x="1302" w:y="2600"/>
        <w:widowControl w:val="0"/>
        <w:shd w:val="clear" w:color="auto" w:fill="auto"/>
        <w:tabs>
          <w:tab w:pos="1634" w:val="left"/>
        </w:tabs>
        <w:bidi w:val="0"/>
        <w:spacing w:before="0" w:after="0"/>
        <w:ind w:left="0" w:right="0" w:firstLine="0"/>
        <w:jc w:val="center"/>
        <w:rPr>
          <w:sz w:val="8"/>
          <w:szCs w:val="8"/>
        </w:rPr>
      </w:pPr>
      <w:r>
        <w:rPr>
          <w:rStyle w:val="CharStyle8"/>
          <w:b/>
          <w:bCs/>
        </w:rPr>
        <w:t>штамп</w:t>
        <w:br/>
        <w:t>регистрации</w:t>
        <w:tab/>
      </w:r>
      <w:r>
        <w:rPr>
          <w:rStyle w:val="CharStyle8"/>
          <w:smallCaps/>
          <w:color w:val="4061A9"/>
          <w:sz w:val="8"/>
          <w:szCs w:val="8"/>
        </w:rPr>
        <w:t>аг</w:t>
      </w:r>
    </w:p>
    <w:p>
      <w:pPr>
        <w:pStyle w:val="Style2"/>
        <w:keepNext w:val="0"/>
        <w:keepLines w:val="0"/>
        <w:framePr w:w="4066" w:h="235" w:wrap="none" w:hAnchor="page" w:x="1139" w:y="4134"/>
        <w:widowControl w:val="0"/>
        <w:shd w:val="clear" w:color="auto" w:fill="auto"/>
        <w:bidi w:val="0"/>
        <w:spacing w:before="0" w:after="0" w:line="240" w:lineRule="auto"/>
        <w:ind w:left="0" w:right="0" w:firstLine="0"/>
        <w:jc w:val="left"/>
        <w:rPr>
          <w:sz w:val="15"/>
          <w:szCs w:val="15"/>
        </w:rPr>
      </w:pPr>
      <w:r>
        <w:rPr>
          <w:rStyle w:val="CharStyle3"/>
          <w:sz w:val="15"/>
          <w:szCs w:val="15"/>
        </w:rPr>
        <w:t xml:space="preserve">На№  ОТ</w:t>
      </w:r>
    </w:p>
    <w:p>
      <w:pPr>
        <w:pStyle w:val="Style11"/>
        <w:keepNext w:val="0"/>
        <w:keepLines w:val="0"/>
        <w:framePr w:w="3886" w:h="302" w:wrap="none" w:hAnchor="page" w:x="1211" w:y="4950"/>
        <w:widowControl w:val="0"/>
        <w:shd w:val="clear" w:color="auto" w:fill="auto"/>
        <w:bidi w:val="0"/>
        <w:spacing w:before="0" w:after="0" w:line="240" w:lineRule="auto"/>
        <w:ind w:left="0" w:right="0" w:firstLine="0"/>
        <w:jc w:val="left"/>
      </w:pPr>
      <w:r>
        <w:rPr>
          <w:rStyle w:val="CharStyle12"/>
        </w:rPr>
        <w:t>Решение по делу №№070/06/105</w:t>
      </w:r>
    </w:p>
    <w:p>
      <w:pPr>
        <w:pStyle w:val="Style11"/>
        <w:keepNext w:val="0"/>
        <w:keepLines w:val="0"/>
        <w:framePr w:w="946" w:h="295" w:wrap="none" w:hAnchor="page" w:x="1216" w:y="5252"/>
        <w:widowControl w:val="0"/>
        <w:shd w:val="clear" w:color="auto" w:fill="auto"/>
        <w:bidi w:val="0"/>
        <w:spacing w:before="0" w:after="0" w:line="240" w:lineRule="auto"/>
        <w:ind w:left="0" w:right="0" w:firstLine="0"/>
        <w:jc w:val="left"/>
      </w:pPr>
      <w:r>
        <w:rPr>
          <w:rStyle w:val="CharStyle12"/>
        </w:rPr>
        <w:t>354/2026</w:t>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МКОУ «Тегульдетская СОШ»</w:t>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636900, Томская обл., Тегульдетский р</w:t>
        <w:softHyphen/>
        <w:t>н., с. Тегульдет, ул. Советская, д. 3, стр. 1</w:t>
      </w:r>
    </w:p>
    <w:p>
      <w:pPr>
        <w:pStyle w:val="Style13"/>
        <w:keepNext w:val="0"/>
        <w:keepLines w:val="0"/>
        <w:framePr w:w="4762" w:h="5179" w:wrap="none" w:hAnchor="page" w:x="6405" w:y="947"/>
        <w:widowControl w:val="0"/>
        <w:shd w:val="clear" w:color="auto" w:fill="auto"/>
        <w:bidi w:val="0"/>
        <w:spacing w:before="0" w:after="320" w:line="240" w:lineRule="auto"/>
        <w:ind w:left="0" w:right="0" w:firstLine="0"/>
        <w:jc w:val="both"/>
      </w:pPr>
      <w:r>
        <w:fldChar w:fldCharType="begin"/>
      </w:r>
      <w:r>
        <w:rPr/>
        <w:instrText> HYPERLINK "mailto:tegschool@teguldet.gov70.ru" </w:instrText>
      </w:r>
      <w:r>
        <w:fldChar w:fldCharType="separate"/>
      </w:r>
      <w:r>
        <w:rPr>
          <w:rStyle w:val="CharStyle14"/>
          <w:lang w:val="en-US" w:eastAsia="en-US"/>
        </w:rPr>
        <w:t>tegschool@teguldet.gov70.ru</w:t>
      </w:r>
      <w:r>
        <w:fldChar w:fldCharType="end"/>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ООО «Рельсовые системы из русской стали»</w:t>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614113, г. Пермь, ул. Грибоедова, д. 72, кв. 8</w:t>
      </w:r>
    </w:p>
    <w:p>
      <w:pPr>
        <w:pStyle w:val="Style13"/>
        <w:keepNext w:val="0"/>
        <w:keepLines w:val="0"/>
        <w:framePr w:w="4762" w:h="5179" w:wrap="none" w:hAnchor="page" w:x="6405" w:y="947"/>
        <w:widowControl w:val="0"/>
        <w:shd w:val="clear" w:color="auto" w:fill="auto"/>
        <w:bidi w:val="0"/>
        <w:spacing w:before="0" w:after="320" w:line="240" w:lineRule="auto"/>
        <w:ind w:left="0" w:right="0" w:firstLine="0"/>
        <w:jc w:val="both"/>
      </w:pPr>
      <w:r>
        <w:fldChar w:fldCharType="begin"/>
      </w:r>
      <w:r>
        <w:rPr/>
        <w:instrText> HYPERLINK "mailto:tender_otdel@bk.ru" </w:instrText>
      </w:r>
      <w:r>
        <w:fldChar w:fldCharType="separate"/>
      </w:r>
      <w:r>
        <w:rPr>
          <w:rStyle w:val="CharStyle14"/>
          <w:lang w:val="en-US" w:eastAsia="en-US"/>
        </w:rPr>
        <w:t>tender_otdel@bk.ru</w:t>
      </w:r>
      <w:r>
        <w:fldChar w:fldCharType="end"/>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ООО «РТС-тендер»</w:t>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121151, г. Москва, наб. Тараса</w:t>
      </w:r>
    </w:p>
    <w:p>
      <w:pPr>
        <w:pStyle w:val="Style13"/>
        <w:keepNext w:val="0"/>
        <w:keepLines w:val="0"/>
        <w:framePr w:w="4762" w:h="5179" w:wrap="none" w:hAnchor="page" w:x="6405" w:y="947"/>
        <w:widowControl w:val="0"/>
        <w:shd w:val="clear" w:color="auto" w:fill="auto"/>
        <w:bidi w:val="0"/>
        <w:spacing w:before="0" w:after="0" w:line="240" w:lineRule="auto"/>
        <w:ind w:left="0" w:right="0" w:firstLine="0"/>
        <w:jc w:val="both"/>
      </w:pPr>
      <w:r>
        <w:rPr>
          <w:rStyle w:val="CharStyle14"/>
        </w:rPr>
        <w:t>Шевченко, д. 23А, 25 этаж, пом. 1</w:t>
      </w:r>
    </w:p>
    <w:p>
      <w:pPr>
        <w:pStyle w:val="Style13"/>
        <w:keepNext w:val="0"/>
        <w:keepLines w:val="0"/>
        <w:framePr w:w="4762" w:h="5179" w:wrap="none" w:hAnchor="page" w:x="6405" w:y="947"/>
        <w:widowControl w:val="0"/>
        <w:shd w:val="clear" w:color="auto" w:fill="auto"/>
        <w:bidi w:val="0"/>
        <w:spacing w:before="0" w:after="320" w:line="240" w:lineRule="auto"/>
        <w:ind w:left="0" w:right="0" w:firstLine="0"/>
        <w:jc w:val="both"/>
      </w:pPr>
      <w:r>
        <w:fldChar w:fldCharType="begin"/>
      </w:r>
      <w:r>
        <w:rPr/>
        <w:instrText> HYPERLINK "mailto:ko@rts-tender.ru" </w:instrText>
      </w:r>
      <w:r>
        <w:fldChar w:fldCharType="separate"/>
      </w:r>
      <w:r>
        <w:rPr>
          <w:rStyle w:val="CharStyle14"/>
          <w:lang w:val="en-US" w:eastAsia="en-US"/>
        </w:rPr>
        <w:t>ko@rts-tender.ru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1783080</wp:posOffset>
            </wp:positionH>
            <wp:positionV relativeFrom="margin">
              <wp:posOffset>0</wp:posOffset>
            </wp:positionV>
            <wp:extent cx="518160" cy="6032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32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footerReference w:type="default" r:id="rId7"/>
          <w:footnotePr>
            <w:pos w:val="pageBottom"/>
            <w:numFmt w:val="decimal"/>
            <w:numRestart w:val="continuous"/>
          </w:footnotePr>
          <w:pgSz w:w="11900" w:h="16840"/>
          <w:pgMar w:top="289" w:right="533" w:bottom="1221" w:left="1095" w:header="0" w:footer="3" w:gutter="0"/>
          <w:pgNumType w:start="1"/>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rStyle w:val="CharStyle14"/>
        </w:rPr>
        <w:t>РЕШЕНИЕ</w:t>
      </w:r>
    </w:p>
    <w:p>
      <w:pPr>
        <w:pStyle w:val="Style13"/>
        <w:keepNext w:val="0"/>
        <w:keepLines w:val="0"/>
        <w:widowControl w:val="0"/>
        <w:shd w:val="clear" w:color="auto" w:fill="auto"/>
        <w:bidi w:val="0"/>
        <w:spacing w:before="0" w:after="0" w:line="240" w:lineRule="auto"/>
        <w:ind w:left="0" w:right="0" w:firstLine="0"/>
        <w:jc w:val="center"/>
      </w:pPr>
      <w:r>
        <w:rPr>
          <w:rStyle w:val="CharStyle14"/>
        </w:rPr>
        <w:t>по делу №070/06/105-354/2026</w:t>
      </w:r>
    </w:p>
    <w:p>
      <w:pPr>
        <w:pStyle w:val="Style13"/>
        <w:keepNext w:val="0"/>
        <w:keepLines w:val="0"/>
        <w:widowControl w:val="0"/>
        <w:shd w:val="clear" w:color="auto" w:fill="auto"/>
        <w:bidi w:val="0"/>
        <w:spacing w:before="0" w:after="320" w:line="240" w:lineRule="auto"/>
        <w:ind w:left="0" w:right="0" w:firstLine="0"/>
        <w:jc w:val="center"/>
      </w:pPr>
      <w:r>
        <w:rPr>
          <w:rStyle w:val="CharStyle14"/>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3"/>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6434455</wp:posOffset>
                </wp:positionH>
                <wp:positionV relativeFrom="paragraph">
                  <wp:posOffset>12700</wp:posOffset>
                </wp:positionV>
                <wp:extent cx="636905" cy="216535"/>
                <wp:wrapSquare wrapText="left"/>
                <wp:docPr id="5" name="Shape 5"/>
                <a:graphic xmlns:a="http://schemas.openxmlformats.org/drawingml/2006/main">
                  <a:graphicData uri="http://schemas.microsoft.com/office/word/2010/wordprocessingShape">
                    <wps:wsp>
                      <wps:cNvSpPr txBox="1"/>
                      <wps:spPr>
                        <a:xfrm>
                          <a:ext cx="63690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Томск</w:t>
                            </w:r>
                          </w:p>
                        </w:txbxContent>
                      </wps:txbx>
                      <wps:bodyPr wrap="none" lIns="0" tIns="0" rIns="0" bIns="0">
                        <a:noAutoFit/>
                      </wps:bodyPr>
                    </wps:wsp>
                  </a:graphicData>
                </a:graphic>
              </wp:anchor>
            </w:drawing>
          </mc:Choice>
          <mc:Fallback>
            <w:pict>
              <v:shape id="_x0000_s1031" type="#_x0000_t202" style="position:absolute;margin-left:506.65000000000003pt;margin-top:1.pt;width:50.149999999999999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Томск</w:t>
                      </w:r>
                    </w:p>
                  </w:txbxContent>
                </v:textbox>
                <w10:wrap type="square" side="left" anchorx="page"/>
              </v:shape>
            </w:pict>
          </mc:Fallback>
        </mc:AlternateContent>
      </w:r>
      <w:r>
        <w:rPr>
          <w:rStyle w:val="CharStyle14"/>
        </w:rPr>
        <w:t>27.04.2026</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 И.М. – заместителя руководителя управления;</w:t>
      </w:r>
    </w:p>
    <w:p>
      <w:pPr>
        <w:pStyle w:val="Style13"/>
        <w:keepNext w:val="0"/>
        <w:keepLines w:val="0"/>
        <w:widowControl w:val="0"/>
        <w:shd w:val="clear" w:color="auto" w:fill="auto"/>
        <w:bidi w:val="0"/>
        <w:spacing w:before="0" w:after="60" w:line="240" w:lineRule="auto"/>
        <w:ind w:left="0" w:right="0" w:firstLine="0"/>
        <w:jc w:val="both"/>
      </w:pPr>
      <w:r>
        <w:rPr>
          <w:rStyle w:val="CharStyle14"/>
        </w:rPr>
        <w:t>членов комиссии: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М Д.А. – начальника отдела контроля органов власти и торгов;</w:t>
      </w:r>
    </w:p>
    <w:p>
      <w:pPr>
        <w:pStyle w:val="Style13"/>
        <w:keepNext w:val="0"/>
        <w:keepLines w:val="0"/>
        <w:widowControl w:val="0"/>
        <w:shd w:val="clear" w:color="auto" w:fill="auto"/>
        <w:bidi w:val="0"/>
        <w:spacing w:before="0" w:after="200" w:line="240" w:lineRule="auto"/>
        <w:ind w:left="0" w:right="0" w:firstLine="740"/>
        <w:jc w:val="both"/>
      </w:pPr>
      <w:r>
        <w:rPr>
          <w:rStyle w:val="CharStyle14"/>
        </w:rPr>
        <w:t>П К.С. - специалиста 1 разряда отдела контроля органов власти и торгов, рассмотрев жалобу ООО «Рельсовые системы из русской стали» (далее – Заявитель) (вх.№3246/26 от 23.04.2026) на действия аукционной комиссии Заказчика - МКОУ «Тегульдетская СОШ» при проведении электронного аукциона «Реализация мероприятий по модернизации школьных систем образования в рамках национального проекта «Молодежь и дети» федерального проекта «Все лучшее детям» (оснащение отремонтированных зданий и помещений современными средствами обучения и воспитания) для МКОУ «Тегульдетская СОШ»» (извещение №0365300045626000018),</w:t>
      </w:r>
    </w:p>
    <w:p>
      <w:pPr>
        <w:pStyle w:val="Style18"/>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289" w:right="533" w:bottom="1222" w:left="1095" w:header="0" w:footer="3" w:gutter="0"/>
          <w:cols w:space="720"/>
          <w:noEndnote/>
          <w:rtlGutter w:val="0"/>
          <w:docGrid w:linePitch="360"/>
        </w:sectPr>
      </w:pPr>
      <w:bookmarkStart w:id="0" w:name="bookmark0"/>
      <w:r>
        <w:rPr>
          <w:rStyle w:val="CharStyle19"/>
        </w:rPr>
        <w:t>IIIIIIIIIIIIIIIIIIIIIIII</w:t>
      </w:r>
      <w:bookmarkEnd w:id="0"/>
    </w:p>
    <w:p>
      <w:pPr>
        <w:pStyle w:val="Style13"/>
        <w:keepNext w:val="0"/>
        <w:keepLines w:val="0"/>
        <w:widowControl w:val="0"/>
        <w:shd w:val="clear" w:color="auto" w:fill="auto"/>
        <w:bidi w:val="0"/>
        <w:spacing w:before="0" w:after="320" w:line="240" w:lineRule="auto"/>
        <w:ind w:left="0" w:right="0" w:firstLine="720"/>
        <w:jc w:val="both"/>
      </w:pPr>
      <w:r>
        <w:rPr>
          <w:rStyle w:val="CharStyle14"/>
        </w:rPr>
        <w:t xml:space="preserve">при участии посредством ВКС представителя Заказчика </w:t>
      </w:r>
      <w:r>
        <w:rPr>
          <w:rStyle w:val="CharStyle14"/>
          <w:lang w:val="en-US" w:eastAsia="en-US"/>
        </w:rPr>
        <w:t xml:space="preserve">– </w:t>
      </w:r>
      <w:r>
        <w:rPr>
          <w:rStyle w:val="CharStyle14"/>
        </w:rPr>
        <w:t xml:space="preserve">Ч О.В. (доверенность от </w:t>
      </w:r>
      <w:r>
        <w:rPr>
          <w:rStyle w:val="CharStyle14"/>
          <w:lang w:val="en-US" w:eastAsia="en-US"/>
        </w:rPr>
        <w:t xml:space="preserve">24.04.2026), </w:t>
      </w:r>
      <w:r>
        <w:rPr>
          <w:rStyle w:val="CharStyle14"/>
        </w:rPr>
        <w:t xml:space="preserve">при участии посредством ВКС представителя Заявителя </w:t>
      </w:r>
      <w:r>
        <w:rPr>
          <w:rStyle w:val="CharStyle14"/>
          <w:lang w:val="en-US" w:eastAsia="en-US"/>
        </w:rPr>
        <w:t xml:space="preserve">– </w:t>
      </w:r>
      <w:r>
        <w:rPr>
          <w:rStyle w:val="CharStyle14"/>
        </w:rPr>
        <w:t xml:space="preserve">А Я.Э. (доверенность от </w:t>
      </w:r>
      <w:r>
        <w:rPr>
          <w:rStyle w:val="CharStyle14"/>
          <w:lang w:val="en-US" w:eastAsia="en-US"/>
        </w:rPr>
        <w:t>15.04.2026),</w:t>
      </w:r>
    </w:p>
    <w:p>
      <w:pPr>
        <w:pStyle w:val="Style13"/>
        <w:keepNext w:val="0"/>
        <w:keepLines w:val="0"/>
        <w:widowControl w:val="0"/>
        <w:shd w:val="clear" w:color="auto" w:fill="auto"/>
        <w:bidi w:val="0"/>
        <w:spacing w:before="0" w:after="320" w:line="240" w:lineRule="auto"/>
        <w:ind w:left="0" w:right="0" w:firstLine="0"/>
        <w:jc w:val="center"/>
      </w:pPr>
      <w:r>
        <w:rPr>
          <w:rStyle w:val="CharStyle14"/>
        </w:rPr>
        <w:t>УСТАНОВЛЕНО: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Томское УФАС России обратился Заявитель с жалобой, поданной в срок и соответствующей статье </w:t>
      </w:r>
      <w:r>
        <w:rPr>
          <w:rStyle w:val="CharStyle14"/>
          <w:lang w:val="en-US" w:eastAsia="en-US"/>
        </w:rPr>
        <w:t xml:space="preserve">105 </w:t>
      </w:r>
      <w:r>
        <w:rPr>
          <w:rStyle w:val="CharStyle14"/>
        </w:rPr>
        <w:t xml:space="preserve">Закона о контрактной системе, на действия Заказчика </w:t>
      </w:r>
      <w:r>
        <w:rPr>
          <w:rStyle w:val="CharStyle14"/>
          <w:lang w:val="en-US" w:eastAsia="en-US"/>
        </w:rPr>
        <w:t xml:space="preserve">- </w:t>
      </w:r>
      <w:r>
        <w:rPr>
          <w:rStyle w:val="CharStyle14"/>
        </w:rPr>
        <w:t xml:space="preserve">МКОУ «Тегульдетская СОШ» при проведении электронного аукциона «Реализация мероприятий по модернизации школьных систем образования в рамках национального проекта «Молодежь и дети» федерального проекта «Все лучшее детям» (оснащение отремонтированных зданий и помещений современными средствами обучения и воспитания) для МКОУ «Тегульдетская СОШ»» (извещение </w:t>
      </w:r>
      <w:r>
        <w:rPr>
          <w:rStyle w:val="CharStyle14"/>
          <w:lang w:val="en-US" w:eastAsia="en-US"/>
        </w:rPr>
        <w:t xml:space="preserve">№0365300045626000018), </w:t>
      </w:r>
      <w:r>
        <w:rPr>
          <w:rStyle w:val="CharStyle14"/>
        </w:rPr>
        <w:t>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жалобе Заявителя, аукционная комиссия Заказчика неправомерно признала заявки соответствующими требованиям Постановления </w:t>
      </w:r>
      <w:r>
        <w:rPr>
          <w:rStyle w:val="CharStyle14"/>
          <w:lang w:val="en-US" w:eastAsia="en-US"/>
        </w:rPr>
        <w:t>№1875.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 не согласен с доводом жалобы, просит признать жалобу необоснованной.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результате рассмотрения жалобы и осуществления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внеплановой проверки, Комиссия Томского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 </w:t>
      </w:r>
      <w:r>
        <w:rPr>
          <w:rStyle w:val="CharStyle14"/>
          <w:lang w:val="en-US" w:eastAsia="en-US"/>
        </w:rPr>
        <w:t xml:space="preserve">№0365300045626000018 </w:t>
      </w:r>
      <w:r>
        <w:rPr>
          <w:rStyle w:val="CharStyle14"/>
        </w:rPr>
        <w:t xml:space="preserve">о проведении закупки размещено на официальном сайте единой информационной системы в сфере закупок в информационно-телекоммуникационной сети Интернет (далее </w:t>
      </w:r>
      <w:r>
        <w:rPr>
          <w:rStyle w:val="CharStyle14"/>
          <w:lang w:val="en-US" w:eastAsia="en-US"/>
        </w:rPr>
        <w:t xml:space="preserve">– </w:t>
      </w:r>
      <w:r>
        <w:rPr>
          <w:rStyle w:val="CharStyle14"/>
        </w:rPr>
        <w:t xml:space="preserve">официальный сайт, ЕИС) </w:t>
      </w:r>
      <w:r>
        <w:rPr>
          <w:rStyle w:val="CharStyle14"/>
          <w:lang w:val="en-US" w:eastAsia="en-US"/>
        </w:rPr>
        <w:t>09.04.2026.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- 1 034 876,00 </w:t>
      </w:r>
      <w:r>
        <w:rPr>
          <w:rStyle w:val="CharStyle14"/>
        </w:rPr>
        <w:t>руб.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Предмет закупки: Реализация мероприятий по модернизации школьных систем образования в рамках национального проекта «Молодежь и дети» федерального проекта «Все лучшее детям» (оснащение отремонтированных зданий и помещений современными средствами обучения и воспитания) для МКОУ «Тегульдетская СОШ».</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участие в аукционе подано </w:t>
      </w:r>
      <w:r>
        <w:rPr>
          <w:rStyle w:val="CharStyle14"/>
          <w:lang w:val="en-US" w:eastAsia="en-US"/>
        </w:rPr>
        <w:t xml:space="preserve">6 </w:t>
      </w:r>
      <w:r>
        <w:rPr>
          <w:rStyle w:val="CharStyle14"/>
        </w:rPr>
        <w:t>заявок.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момент рассмотрения жалобы контракт не заключен.</w:t>
      </w:r>
    </w:p>
    <w:p>
      <w:pPr>
        <w:pStyle w:val="Style13"/>
        <w:keepNext w:val="0"/>
        <w:keepLines w:val="0"/>
        <w:widowControl w:val="0"/>
        <w:shd w:val="clear" w:color="auto" w:fill="auto"/>
        <w:bidi w:val="0"/>
        <w:spacing w:before="0" w:after="320" w:line="240" w:lineRule="auto"/>
        <w:ind w:left="0" w:right="0" w:firstLine="720"/>
        <w:jc w:val="both"/>
        <w:rPr>
          <w:sz w:val="24"/>
          <w:szCs w:val="24"/>
        </w:rPr>
      </w:pPr>
      <w:r>
        <w:rPr>
          <w:rStyle w:val="CharStyle14"/>
        </w:rPr>
        <w:t xml:space="preserve">В силу ч. </w:t>
      </w:r>
      <w:r>
        <w:rPr>
          <w:rStyle w:val="CharStyle14"/>
          <w:lang w:val="en-US" w:eastAsia="en-US"/>
        </w:rPr>
        <w:t xml:space="preserve">1 </w:t>
      </w:r>
      <w:r>
        <w:rPr>
          <w:rStyle w:val="CharStyle14"/>
        </w:rPr>
        <w:t xml:space="preserve">ст. </w:t>
      </w:r>
      <w:r>
        <w:rPr>
          <w:rStyle w:val="CharStyle14"/>
          <w:lang w:val="en-US" w:eastAsia="en-US"/>
        </w:rPr>
        <w:t xml:space="preserve">105 </w:t>
      </w:r>
      <w:r>
        <w:rPr>
          <w:rStyle w:val="CharStyle14"/>
        </w:rPr>
        <w:t xml:space="preserve">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w:t>
      </w:r>
      <w:r>
        <w:rPr>
          <w:rStyle w:val="CharStyle14"/>
          <w:lang w:val="en-US" w:eastAsia="en-US"/>
        </w:rPr>
        <w:t xml:space="preserve">12 </w:t>
      </w:r>
      <w:r>
        <w:rPr>
          <w:rStyle w:val="CharStyle14"/>
        </w:rPr>
        <w:t xml:space="preserve">статьи </w:t>
      </w:r>
      <w:r>
        <w:rPr>
          <w:rStyle w:val="CharStyle14"/>
          <w:lang w:val="en-US" w:eastAsia="en-US"/>
        </w:rPr>
        <w:t xml:space="preserve">93 </w:t>
      </w:r>
      <w:r>
        <w:rPr>
          <w:rStyle w:val="CharStyle14"/>
        </w:rPr>
        <w:t xml:space="preserve">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w:t>
      </w:r>
      <w:r>
        <w:rPr>
          <w:rStyle w:val="CharStyle14"/>
          <w:sz w:val="24"/>
          <w:szCs w:val="24"/>
          <w:lang w:val="en-US" w:eastAsia="en-US"/>
        </w:rPr>
        <w:t>2026-2912</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Таким образом, право подачи жалобы в контрольный орган в сфере закупок в порядке, установленном главой </w:t>
      </w:r>
      <w:r>
        <w:rPr>
          <w:rStyle w:val="CharStyle14"/>
          <w:lang w:val="en-US" w:eastAsia="en-US"/>
        </w:rPr>
        <w:t xml:space="preserve">6 </w:t>
      </w:r>
      <w:r>
        <w:rPr>
          <w:rStyle w:val="CharStyle14"/>
        </w:rPr>
        <w:t>Закона, предоставлено участнику закупки при условии, если обжалуемые действия (бездействие) субъекта контроля нарушают права и законные интересы такого участника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 смыслу статьи Закона о контрактной системе в сфере закупок направлена на создание равных условий для обеспечения конкуренции между участниками закупок. Любое заинтересованное лицо должно иметь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статье </w:t>
      </w:r>
      <w:r>
        <w:rPr>
          <w:rStyle w:val="CharStyle14"/>
          <w:lang w:val="en-US" w:eastAsia="en-US"/>
        </w:rPr>
        <w:t xml:space="preserve">7 </w:t>
      </w:r>
      <w:r>
        <w:rPr>
          <w:rStyle w:val="CharStyle14"/>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4"/>
          <w:lang w:val="en-US" w:eastAsia="en-US"/>
        </w:rPr>
        <w:t xml:space="preserve">1 </w:t>
      </w:r>
      <w:r>
        <w:rPr>
          <w:rStyle w:val="CharStyle14"/>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Часть </w:t>
      </w:r>
      <w:r>
        <w:rPr>
          <w:rStyle w:val="CharStyle14"/>
          <w:lang w:val="en-US" w:eastAsia="en-US"/>
        </w:rPr>
        <w:t xml:space="preserve">1 </w:t>
      </w:r>
      <w:r>
        <w:rPr>
          <w:rStyle w:val="CharStyle14"/>
        </w:rPr>
        <w:t xml:space="preserve">статьи </w:t>
      </w:r>
      <w:r>
        <w:rPr>
          <w:rStyle w:val="CharStyle14"/>
          <w:lang w:val="en-US" w:eastAsia="en-US"/>
        </w:rPr>
        <w:t xml:space="preserve">8 </w:t>
      </w:r>
      <w:r>
        <w:rPr>
          <w:rStyle w:val="CharStyle14"/>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8 </w:t>
      </w:r>
      <w:r>
        <w:rPr>
          <w:rStyle w:val="CharStyle14"/>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62" w:lineRule="auto"/>
        <w:ind w:left="0" w:right="0" w:firstLine="720"/>
        <w:jc w:val="both"/>
        <w:rPr>
          <w:sz w:val="24"/>
          <w:szCs w:val="24"/>
        </w:rPr>
      </w:pPr>
      <w:r>
        <w:rPr>
          <w:rStyle w:val="CharStyle14"/>
        </w:rPr>
        <w:t xml:space="preserve">В соответствии с п. </w:t>
      </w:r>
      <w:r>
        <w:rPr>
          <w:rStyle w:val="CharStyle14"/>
          <w:lang w:val="en-US" w:eastAsia="en-US"/>
        </w:rPr>
        <w:t xml:space="preserve">15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w:t>
      </w:r>
      <w:r>
        <w:rPr>
          <w:rStyle w:val="CharStyle14"/>
          <w:sz w:val="24"/>
          <w:szCs w:val="24"/>
          <w:lang w:val="en-US" w:eastAsia="en-US"/>
        </w:rPr>
        <w:t>2026-2912</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4"/>
          <w:lang w:val="en-US" w:eastAsia="en-US"/>
        </w:rPr>
        <w:t xml:space="preserve">- </w:t>
      </w:r>
      <w:r>
        <w:rPr>
          <w:rStyle w:val="CharStyle14"/>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4"/>
          <w:lang w:val="en-US" w:eastAsia="en-US"/>
        </w:rPr>
        <w:t xml:space="preserve">- </w:t>
      </w:r>
      <w:r>
        <w:rPr>
          <w:rStyle w:val="CharStyle14"/>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4"/>
          <w:lang w:val="en-US" w:eastAsia="en-US"/>
        </w:rPr>
        <w:t xml:space="preserve">- </w:t>
      </w:r>
      <w:r>
        <w:rPr>
          <w:rStyle w:val="CharStyle14"/>
        </w:rPr>
        <w:t xml:space="preserve">российское лицо), за исключением случаев принятия Правительством Российской Федерации мер, предусмотренных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Частью </w:t>
      </w:r>
      <w:r>
        <w:rPr>
          <w:rStyle w:val="CharStyle14"/>
          <w:lang w:val="en-US" w:eastAsia="en-US"/>
        </w:rPr>
        <w:t xml:space="preserve">2 </w:t>
      </w:r>
      <w:r>
        <w:rPr>
          <w:rStyle w:val="CharStyle14"/>
        </w:rPr>
        <w:t>ст.14 Закона о контрактной системе установлено, что Правительство Российской Федерации:</w:t>
      </w:r>
    </w:p>
    <w:p>
      <w:pPr>
        <w:pStyle w:val="Style13"/>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rStyle w:val="CharStyle14"/>
        </w:rPr>
        <w:t xml:space="preserve">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3"/>
        </w:numPr>
        <w:shd w:val="clear" w:color="auto" w:fill="auto"/>
        <w:tabs>
          <w:tab w:pos="1110" w:val="left"/>
        </w:tabs>
        <w:bidi w:val="0"/>
        <w:spacing w:before="0" w:after="0" w:line="240" w:lineRule="auto"/>
        <w:ind w:left="0" w:right="0" w:firstLine="74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3"/>
        </w:numPr>
        <w:shd w:val="clear" w:color="auto" w:fill="auto"/>
        <w:tabs>
          <w:tab w:pos="1110" w:val="left"/>
        </w:tabs>
        <w:bidi w:val="0"/>
        <w:spacing w:before="0" w:after="0" w:line="240" w:lineRule="auto"/>
        <w:ind w:left="0" w:right="0" w:firstLine="74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3"/>
        </w:numPr>
        <w:shd w:val="clear" w:color="auto" w:fill="auto"/>
        <w:tabs>
          <w:tab w:pos="1110" w:val="left"/>
        </w:tabs>
        <w:bidi w:val="0"/>
        <w:spacing w:before="0" w:after="0" w:line="283" w:lineRule="auto"/>
        <w:ind w:left="0" w:right="0" w:firstLine="740"/>
        <w:jc w:val="both"/>
        <w:rPr>
          <w:sz w:val="24"/>
          <w:szCs w:val="24"/>
        </w:rPr>
      </w:pPr>
      <w:r>
        <w:rPr>
          <w:rStyle w:val="CharStyle14"/>
        </w:rPr>
        <w:t xml:space="preserve">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w:t>
      </w:r>
      <w:r>
        <w:rPr>
          <w:rStyle w:val="CharStyle14"/>
          <w:sz w:val="24"/>
          <w:szCs w:val="24"/>
          <w:lang w:val="en-US" w:eastAsia="en-US"/>
        </w:rPr>
        <w:t>2026-2912</w:t>
      </w:r>
    </w:p>
    <w:p>
      <w:pPr>
        <w:pStyle w:val="Style13"/>
        <w:keepNext w:val="0"/>
        <w:keepLines w:val="0"/>
        <w:widowControl w:val="0"/>
        <w:shd w:val="clear" w:color="auto" w:fill="auto"/>
        <w:bidi w:val="0"/>
        <w:spacing w:before="0" w:after="60" w:line="240" w:lineRule="auto"/>
        <w:ind w:left="0" w:right="0" w:firstLine="0"/>
        <w:jc w:val="both"/>
      </w:pPr>
      <w:r>
        <w:rPr>
          <w:rStyle w:val="CharStyle14"/>
        </w:rPr>
        <w:t>лицами;</w:t>
      </w:r>
    </w:p>
    <w:p>
      <w:pPr>
        <w:pStyle w:val="Style13"/>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14"/>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4"/>
          <w:lang w:val="en-US" w:eastAsia="en-US"/>
        </w:rPr>
        <w:t xml:space="preserve">1 </w:t>
      </w:r>
      <w:r>
        <w:rPr>
          <w:rStyle w:val="CharStyle14"/>
        </w:rPr>
        <w:t>настоящей части.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Постановлением Правительства РФ от </w:t>
      </w:r>
      <w:r>
        <w:rPr>
          <w:rStyle w:val="CharStyle14"/>
          <w:lang w:val="en-US" w:eastAsia="en-US"/>
        </w:rPr>
        <w:t xml:space="preserve">23.12.2024 </w:t>
      </w:r>
      <w:r>
        <w:rPr>
          <w:rStyle w:val="CharStyle14"/>
        </w:rPr>
        <w:t xml:space="preserve">г. </w:t>
      </w:r>
      <w:r>
        <w:rPr>
          <w:rStyle w:val="CharStyle14"/>
          <w:lang w:val="en-US" w:eastAsia="en-US"/>
        </w:rPr>
        <w:t xml:space="preserve">№1875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№1875) </w:t>
      </w:r>
      <w:r>
        <w:rPr>
          <w:rStyle w:val="CharStyle14"/>
        </w:rPr>
        <w:t>предусмотрены:</w:t>
      </w:r>
    </w:p>
    <w:p>
      <w:pPr>
        <w:pStyle w:val="Style13"/>
        <w:keepNext w:val="0"/>
        <w:keepLines w:val="0"/>
        <w:widowControl w:val="0"/>
        <w:numPr>
          <w:ilvl w:val="0"/>
          <w:numId w:val="5"/>
        </w:numPr>
        <w:shd w:val="clear" w:color="auto" w:fill="auto"/>
        <w:tabs>
          <w:tab w:pos="1028" w:val="left"/>
        </w:tabs>
        <w:bidi w:val="0"/>
        <w:spacing w:before="0" w:after="0" w:line="240" w:lineRule="auto"/>
        <w:ind w:left="0" w:right="0" w:firstLine="720"/>
        <w:jc w:val="both"/>
      </w:pPr>
      <w:r>
        <w:rPr>
          <w:rStyle w:val="CharStyle1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а также закупок иностранных товаров, работ, услуг в рамках мероприятий государственного оборонного заказа (согласно перечню, приведенному в приложении </w:t>
      </w:r>
      <w:r>
        <w:rPr>
          <w:rStyle w:val="CharStyle14"/>
          <w:lang w:val="en-US" w:eastAsia="en-US"/>
        </w:rPr>
        <w:t>№1);</w:t>
      </w:r>
    </w:p>
    <w:p>
      <w:pPr>
        <w:pStyle w:val="Style13"/>
        <w:keepNext w:val="0"/>
        <w:keepLines w:val="0"/>
        <w:widowControl w:val="0"/>
        <w:numPr>
          <w:ilvl w:val="0"/>
          <w:numId w:val="5"/>
        </w:numPr>
        <w:shd w:val="clear" w:color="auto" w:fill="auto"/>
        <w:tabs>
          <w:tab w:pos="1028" w:val="left"/>
        </w:tabs>
        <w:bidi w:val="0"/>
        <w:spacing w:before="0" w:after="0" w:line="240" w:lineRule="auto"/>
        <w:ind w:left="0" w:right="0" w:firstLine="720"/>
        <w:jc w:val="both"/>
      </w:pPr>
      <w:r>
        <w:rPr>
          <w:rStyle w:val="CharStyle1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перечню, приведенному в приложении </w:t>
      </w:r>
      <w:r>
        <w:rPr>
          <w:rStyle w:val="CharStyle14"/>
          <w:lang w:val="en-US" w:eastAsia="en-US"/>
        </w:rPr>
        <w:t>№2);</w:t>
      </w:r>
    </w:p>
    <w:p>
      <w:pPr>
        <w:pStyle w:val="Style13"/>
        <w:keepNext w:val="0"/>
        <w:keepLines w:val="0"/>
        <w:widowControl w:val="0"/>
        <w:numPr>
          <w:ilvl w:val="0"/>
          <w:numId w:val="5"/>
        </w:numPr>
        <w:shd w:val="clear" w:color="auto" w:fill="auto"/>
        <w:tabs>
          <w:tab w:pos="1028" w:val="left"/>
        </w:tabs>
        <w:bidi w:val="0"/>
        <w:spacing w:before="0" w:after="0" w:line="240" w:lineRule="auto"/>
        <w:ind w:left="0" w:right="0" w:firstLine="72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структурированной форме извещения, Заказчику требуется к поставке «Интерактивная панель, КТРУ </w:t>
      </w:r>
      <w:r>
        <w:rPr>
          <w:rStyle w:val="CharStyle14"/>
          <w:lang w:val="en-US" w:eastAsia="en-US"/>
        </w:rPr>
        <w:t xml:space="preserve">26.20.13.000-00000002» </w:t>
      </w:r>
      <w:r>
        <w:rPr>
          <w:rStyle w:val="CharStyle14"/>
        </w:rPr>
        <w:t xml:space="preserve">и «Рельсовая система с классной классической доской, ОКПД2 </w:t>
      </w:r>
      <w:r>
        <w:rPr>
          <w:rStyle w:val="CharStyle14"/>
          <w:lang w:val="en-US" w:eastAsia="en-US"/>
        </w:rPr>
        <w:t>32.99.53.139».</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Заказчиком по закупке </w:t>
      </w:r>
      <w:r>
        <w:rPr>
          <w:rStyle w:val="CharStyle14"/>
          <w:lang w:val="en-US" w:eastAsia="en-US"/>
        </w:rPr>
        <w:t xml:space="preserve">№0365300045626000018 </w:t>
      </w:r>
      <w:r>
        <w:rPr>
          <w:rStyle w:val="CharStyle14"/>
        </w:rPr>
        <w:t xml:space="preserve">установлены ограничения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РФ от </w:t>
      </w:r>
      <w:r>
        <w:rPr>
          <w:rStyle w:val="CharStyle14"/>
          <w:lang w:val="en-US" w:eastAsia="en-US"/>
        </w:rPr>
        <w:t xml:space="preserve">23.12.2024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связи с тем, что товар с ОКПД2 </w:t>
      </w:r>
      <w:r>
        <w:rPr>
          <w:rStyle w:val="CharStyle14"/>
          <w:lang w:val="en-US" w:eastAsia="en-US"/>
        </w:rPr>
        <w:t xml:space="preserve">- 26.20.13.000 </w:t>
      </w:r>
      <w:r>
        <w:rPr>
          <w:rStyle w:val="CharStyle14"/>
        </w:rPr>
        <w:t xml:space="preserve">включен в позицию </w:t>
      </w:r>
      <w:r>
        <w:rPr>
          <w:rStyle w:val="CharStyle14"/>
          <w:lang w:val="en-US" w:eastAsia="en-US"/>
        </w:rPr>
        <w:t xml:space="preserve">197 </w:t>
      </w:r>
      <w:r>
        <w:rPr>
          <w:rStyle w:val="CharStyle14"/>
        </w:rPr>
        <w:t xml:space="preserve">Приложения </w:t>
      </w:r>
      <w:r>
        <w:rPr>
          <w:rStyle w:val="CharStyle14"/>
          <w:lang w:val="en-US" w:eastAsia="en-US"/>
        </w:rPr>
        <w:t xml:space="preserve">№2 </w:t>
      </w:r>
      <w:r>
        <w:rPr>
          <w:rStyle w:val="CharStyle14"/>
        </w:rPr>
        <w:t xml:space="preserve">к Постановлению </w:t>
      </w:r>
      <w:r>
        <w:rPr>
          <w:rStyle w:val="CharStyle14"/>
          <w:lang w:val="en-US" w:eastAsia="en-US"/>
        </w:rPr>
        <w:t xml:space="preserve">№1875 </w:t>
      </w:r>
      <w:r>
        <w:rPr>
          <w:rStyle w:val="CharStyle14"/>
        </w:rPr>
        <w:t xml:space="preserve">и с ОКПД2 </w:t>
      </w:r>
      <w:r>
        <w:rPr>
          <w:rStyle w:val="CharStyle14"/>
          <w:lang w:val="en-US" w:eastAsia="en-US"/>
        </w:rPr>
        <w:t xml:space="preserve">- 32.99.53.139 </w:t>
      </w:r>
      <w:r>
        <w:rPr>
          <w:rStyle w:val="CharStyle14"/>
        </w:rPr>
        <w:t xml:space="preserve">включен в позицию </w:t>
      </w:r>
      <w:r>
        <w:rPr>
          <w:rStyle w:val="CharStyle14"/>
          <w:lang w:val="en-US" w:eastAsia="en-US"/>
        </w:rPr>
        <w:t xml:space="preserve">186 </w:t>
      </w:r>
      <w:r>
        <w:rPr>
          <w:rStyle w:val="CharStyle14"/>
        </w:rPr>
        <w:t xml:space="preserve">Приложения </w:t>
      </w:r>
      <w:r>
        <w:rPr>
          <w:rStyle w:val="CharStyle14"/>
          <w:lang w:val="en-US" w:eastAsia="en-US"/>
        </w:rPr>
        <w:t xml:space="preserve">№2 </w:t>
      </w:r>
      <w:r>
        <w:rPr>
          <w:rStyle w:val="CharStyle14"/>
        </w:rPr>
        <w:t xml:space="preserve">к Постановлению </w:t>
      </w:r>
      <w:r>
        <w:rPr>
          <w:rStyle w:val="CharStyle14"/>
          <w:lang w:val="en-US" w:eastAsia="en-US"/>
        </w:rPr>
        <w:t>№1875.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3 </w:t>
      </w:r>
      <w:r>
        <w:rPr>
          <w:rStyle w:val="CharStyle14"/>
        </w:rPr>
        <w:t xml:space="preserve">Постановления </w:t>
      </w:r>
      <w:r>
        <w:rPr>
          <w:rStyle w:val="CharStyle14"/>
          <w:lang w:val="en-US" w:eastAsia="en-US"/>
        </w:rPr>
        <w:t xml:space="preserve">№1875 </w:t>
      </w:r>
      <w:r>
        <w:rPr>
          <w:rStyle w:val="CharStyle14"/>
        </w:rPr>
        <w:t>информацией и документами, подтверждающими страну происхождения товара для целей настоящего постановления, являются:</w:t>
      </w:r>
    </w:p>
    <w:p>
      <w:pPr>
        <w:pStyle w:val="Style13"/>
        <w:keepNext w:val="0"/>
        <w:keepLines w:val="0"/>
        <w:widowControl w:val="0"/>
        <w:numPr>
          <w:ilvl w:val="0"/>
          <w:numId w:val="7"/>
        </w:numPr>
        <w:shd w:val="clear" w:color="auto" w:fill="auto"/>
        <w:tabs>
          <w:tab w:pos="1057" w:val="left"/>
        </w:tabs>
        <w:bidi w:val="0"/>
        <w:spacing w:before="0" w:after="0" w:line="266" w:lineRule="auto"/>
        <w:ind w:left="0" w:right="0" w:firstLine="720"/>
        <w:jc w:val="both"/>
        <w:rPr>
          <w:sz w:val="24"/>
          <w:szCs w:val="24"/>
        </w:rPr>
        <w:sectPr>
          <w:headerReference w:type="default" r:id="rId8"/>
          <w:footerReference w:type="default" r:id="rId9"/>
          <w:footnotePr>
            <w:pos w:val="pageBottom"/>
            <w:numFmt w:val="decimal"/>
            <w:numRestart w:val="continuous"/>
          </w:footnotePr>
          <w:pgSz w:w="11900" w:h="16840"/>
          <w:pgMar w:top="1690" w:right="533" w:bottom="788" w:left="1099" w:header="0" w:footer="360" w:gutter="0"/>
          <w:cols w:space="720"/>
          <w:noEndnote/>
          <w:rtlGutter w:val="0"/>
          <w:docGrid w:linePitch="360"/>
        </w:sectPr>
      </w:pPr>
      <w:r>
        <w:rPr>
          <w:rStyle w:val="CharStyle14"/>
        </w:rPr>
        <w:t xml:space="preserve">для подтверждения происхождения товаров, указанных в позициях </w:t>
      </w:r>
      <w:r>
        <w:rPr>
          <w:rStyle w:val="CharStyle14"/>
          <w:lang w:val="en-US" w:eastAsia="en-US"/>
        </w:rPr>
        <w:t xml:space="preserve">1 - 145 </w:t>
      </w:r>
      <w:r>
        <w:rPr>
          <w:rStyle w:val="CharStyle14"/>
        </w:rPr>
        <w:t xml:space="preserve">приложения </w:t>
      </w:r>
      <w:r>
        <w:rPr>
          <w:rStyle w:val="CharStyle14"/>
          <w:lang w:val="en-US" w:eastAsia="en-US"/>
        </w:rPr>
        <w:t xml:space="preserve">№1 </w:t>
      </w:r>
      <w:r>
        <w:rPr>
          <w:rStyle w:val="CharStyle14"/>
        </w:rPr>
        <w:t xml:space="preserve">к настоящему постановлению, позициях </w:t>
      </w:r>
      <w:r>
        <w:rPr>
          <w:rStyle w:val="CharStyle14"/>
          <w:lang w:val="en-US" w:eastAsia="en-US"/>
        </w:rPr>
        <w:t xml:space="preserve">1 - 433 </w:t>
      </w:r>
      <w:r>
        <w:rPr>
          <w:rStyle w:val="CharStyle14"/>
        </w:rPr>
        <w:t xml:space="preserve">приложения </w:t>
      </w:r>
      <w:r>
        <w:rPr>
          <w:rStyle w:val="CharStyle14"/>
          <w:lang w:val="en-US" w:eastAsia="en-US"/>
        </w:rPr>
        <w:t xml:space="preserve">№2 </w:t>
      </w:r>
      <w:r>
        <w:rPr>
          <w:rStyle w:val="CharStyle14"/>
        </w:rPr>
        <w:t xml:space="preserve">к настоящему постановлению, приложении </w:t>
      </w:r>
      <w:r>
        <w:rPr>
          <w:rStyle w:val="CharStyle14"/>
          <w:lang w:val="en-US" w:eastAsia="en-US"/>
        </w:rPr>
        <w:t xml:space="preserve">№3 </w:t>
      </w:r>
      <w:r>
        <w:rPr>
          <w:rStyle w:val="CharStyle14"/>
        </w:rPr>
        <w:t xml:space="preserve">к настоящему постановлению, из Российской Федерации </w:t>
      </w:r>
      <w:r>
        <w:rPr>
          <w:rStyle w:val="CharStyle14"/>
          <w:lang w:val="en-US" w:eastAsia="en-US"/>
        </w:rPr>
        <w:t xml:space="preserve">- </w:t>
      </w:r>
      <w:r>
        <w:rPr>
          <w:rStyle w:val="CharStyle14"/>
        </w:rPr>
        <w:t xml:space="preserve">номер реестровой записи из реестра российской промышленной продукции, предусмотренного статьей </w:t>
      </w:r>
      <w:r>
        <w:rPr>
          <w:rStyle w:val="CharStyle14"/>
          <w:lang w:val="en-US" w:eastAsia="en-US"/>
        </w:rPr>
        <w:t xml:space="preserve">17.1 </w:t>
      </w:r>
      <w:r>
        <w:rPr>
          <w:rStyle w:val="CharStyle14"/>
        </w:rPr>
        <w:t xml:space="preserve">Федерального закона «О </w:t>
      </w:r>
      <w:r>
        <w:rPr>
          <w:rStyle w:val="CharStyle14"/>
          <w:sz w:val="24"/>
          <w:szCs w:val="24"/>
          <w:lang w:val="en-US" w:eastAsia="en-US"/>
        </w:rPr>
        <w:t>2026-2912</w:t>
      </w:r>
    </w:p>
    <w:p>
      <w:pPr>
        <w:pStyle w:val="Style13"/>
        <w:keepNext w:val="0"/>
        <w:keepLines w:val="0"/>
        <w:widowControl w:val="0"/>
        <w:shd w:val="clear" w:color="auto" w:fill="auto"/>
        <w:bidi w:val="0"/>
        <w:spacing w:before="0" w:after="0" w:line="240" w:lineRule="auto"/>
        <w:ind w:left="0" w:right="0" w:firstLine="0"/>
        <w:jc w:val="both"/>
      </w:pPr>
      <w:r>
        <w:rPr>
          <w:rStyle w:val="CharStyle14"/>
        </w:rPr>
        <w:t>промышленной политике в Российской Федерации», содержащей в том числе: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4"/>
          <w:lang w:val="en-US" w:eastAsia="en-US"/>
        </w:rPr>
        <w:t xml:space="preserve">17 </w:t>
      </w:r>
      <w:r>
        <w:rPr>
          <w:rStyle w:val="CharStyle14"/>
        </w:rPr>
        <w:t xml:space="preserve">июля </w:t>
      </w:r>
      <w:r>
        <w:rPr>
          <w:rStyle w:val="CharStyle14"/>
          <w:lang w:val="en-US" w:eastAsia="en-US"/>
        </w:rPr>
        <w:t xml:space="preserve">2015 </w:t>
      </w:r>
      <w:r>
        <w:rPr>
          <w:rStyle w:val="CharStyle14"/>
        </w:rPr>
        <w:t xml:space="preserve">г. </w:t>
      </w:r>
      <w:r>
        <w:rPr>
          <w:rStyle w:val="CharStyle14"/>
          <w:lang w:val="en-US" w:eastAsia="en-US"/>
        </w:rPr>
        <w:t xml:space="preserve">№719 </w:t>
      </w:r>
      <w:r>
        <w:rPr>
          <w:rStyle w:val="CharStyle14"/>
        </w:rPr>
        <w:t xml:space="preserve">«О подтверждении производства российской промышленной продукции»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№719) </w:t>
      </w:r>
      <w:r>
        <w:rPr>
          <w:rStyle w:val="CharStyle14"/>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4"/>
          <w:lang w:val="en-US" w:eastAsia="en-US"/>
        </w:rPr>
        <w:t xml:space="preserve">17 </w:t>
      </w:r>
      <w:r>
        <w:rPr>
          <w:rStyle w:val="CharStyle14"/>
        </w:rPr>
        <w:t xml:space="preserve">июля </w:t>
      </w:r>
      <w:r>
        <w:rPr>
          <w:rStyle w:val="CharStyle14"/>
          <w:lang w:val="en-US" w:eastAsia="en-US"/>
        </w:rPr>
        <w:t xml:space="preserve">2015 </w:t>
      </w:r>
      <w:r>
        <w:rPr>
          <w:rStyle w:val="CharStyle14"/>
        </w:rPr>
        <w:t xml:space="preserve">г. </w:t>
      </w:r>
      <w:r>
        <w:rPr>
          <w:rStyle w:val="CharStyle14"/>
          <w:lang w:val="en-US" w:eastAsia="en-US"/>
        </w:rPr>
        <w:t xml:space="preserve">№719 </w:t>
      </w:r>
      <w:r>
        <w:rPr>
          <w:rStyle w:val="CharStyle14"/>
        </w:rPr>
        <w:t>«О подтверждении производства российской промышленной продукции» для целей осуществления закупок;</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4"/>
          <w:lang w:val="en-US" w:eastAsia="en-US"/>
        </w:rPr>
        <w:t xml:space="preserve">17 </w:t>
      </w:r>
      <w:r>
        <w:rPr>
          <w:rStyle w:val="CharStyle14"/>
        </w:rPr>
        <w:t xml:space="preserve">июля </w:t>
      </w:r>
      <w:r>
        <w:rPr>
          <w:rStyle w:val="CharStyle14"/>
          <w:lang w:val="en-US" w:eastAsia="en-US"/>
        </w:rPr>
        <w:t xml:space="preserve">2015 </w:t>
      </w:r>
      <w:r>
        <w:rPr>
          <w:rStyle w:val="CharStyle14"/>
        </w:rPr>
        <w:t xml:space="preserve">г. </w:t>
      </w:r>
      <w:r>
        <w:rPr>
          <w:rStyle w:val="CharStyle14"/>
          <w:lang w:val="en-US" w:eastAsia="en-US"/>
        </w:rPr>
        <w:t xml:space="preserve">№719 </w:t>
      </w:r>
      <w:r>
        <w:rPr>
          <w:rStyle w:val="CharStyle14"/>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3"/>
        <w:keepNext w:val="0"/>
        <w:keepLines w:val="0"/>
        <w:widowControl w:val="0"/>
        <w:numPr>
          <w:ilvl w:val="0"/>
          <w:numId w:val="7"/>
        </w:numPr>
        <w:shd w:val="clear" w:color="auto" w:fill="auto"/>
        <w:tabs>
          <w:tab w:pos="1071" w:val="left"/>
        </w:tabs>
        <w:bidi w:val="0"/>
        <w:spacing w:before="0" w:after="0" w:line="240" w:lineRule="auto"/>
        <w:ind w:left="0" w:right="0" w:firstLine="740"/>
        <w:jc w:val="both"/>
      </w:pPr>
      <w:r>
        <w:rPr>
          <w:rStyle w:val="CharStyle14"/>
        </w:rPr>
        <w:t xml:space="preserve">для подтверждения происхождения товаров, указанных в позициях </w:t>
      </w:r>
      <w:r>
        <w:rPr>
          <w:rStyle w:val="CharStyle14"/>
          <w:lang w:val="en-US" w:eastAsia="en-US"/>
        </w:rPr>
        <w:t xml:space="preserve">1 - 145 </w:t>
      </w:r>
      <w:r>
        <w:rPr>
          <w:rStyle w:val="CharStyle14"/>
        </w:rPr>
        <w:t xml:space="preserve">приложения </w:t>
      </w:r>
      <w:r>
        <w:rPr>
          <w:rStyle w:val="CharStyle14"/>
          <w:lang w:val="en-US" w:eastAsia="en-US"/>
        </w:rPr>
        <w:t xml:space="preserve">№1 </w:t>
      </w:r>
      <w:r>
        <w:rPr>
          <w:rStyle w:val="CharStyle14"/>
        </w:rPr>
        <w:t xml:space="preserve">к настоящему постановлению, позициях </w:t>
      </w:r>
      <w:r>
        <w:rPr>
          <w:rStyle w:val="CharStyle14"/>
          <w:lang w:val="en-US" w:eastAsia="en-US"/>
        </w:rPr>
        <w:t xml:space="preserve">1 - 433 </w:t>
      </w:r>
      <w:r>
        <w:rPr>
          <w:rStyle w:val="CharStyle14"/>
        </w:rPr>
        <w:t xml:space="preserve">приложения </w:t>
      </w:r>
      <w:r>
        <w:rPr>
          <w:rStyle w:val="CharStyle14"/>
          <w:lang w:val="en-US" w:eastAsia="en-US"/>
        </w:rPr>
        <w:t xml:space="preserve">№2 </w:t>
      </w:r>
      <w:r>
        <w:rPr>
          <w:rStyle w:val="CharStyle14"/>
        </w:rPr>
        <w:t xml:space="preserve">к настоящему постановлению, приложении </w:t>
      </w:r>
      <w:r>
        <w:rPr>
          <w:rStyle w:val="CharStyle14"/>
          <w:lang w:val="en-US" w:eastAsia="en-US"/>
        </w:rPr>
        <w:t xml:space="preserve">№3 </w:t>
      </w:r>
      <w:r>
        <w:rPr>
          <w:rStyle w:val="CharStyle14"/>
        </w:rPr>
        <w:t xml:space="preserve">к настоящему постановлению,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w:t>
      </w:r>
      <w:r>
        <w:rPr>
          <w:rStyle w:val="CharStyle14"/>
          <w:lang w:val="en-US" w:eastAsia="en-US"/>
        </w:rPr>
        <w:t xml:space="preserve">- </w:t>
      </w:r>
      <w:r>
        <w:rPr>
          <w:rStyle w:val="CharStyle14"/>
        </w:rPr>
        <w:t xml:space="preserve">номер реестровой записи из евразийского реестра промышленных товаров государств </w:t>
      </w:r>
      <w:r>
        <w:rPr>
          <w:rStyle w:val="CharStyle14"/>
          <w:lang w:val="en-US" w:eastAsia="en-US"/>
        </w:rPr>
        <w:t xml:space="preserve">- </w:t>
      </w:r>
      <w:r>
        <w:rPr>
          <w:rStyle w:val="CharStyle14"/>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4"/>
          <w:lang w:val="en-US" w:eastAsia="en-US"/>
        </w:rPr>
        <w:t xml:space="preserve">- </w:t>
      </w:r>
      <w:r>
        <w:rPr>
          <w:rStyle w:val="CharStyle14"/>
        </w:rPr>
        <w:t>евразийский реестр промышленных товаров), содержащей в том числе: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Таким образом, информацией, подтверждающей страну происхождения товара из Российской Федерации в случаях, указанных в подпункте «а» пункта </w:t>
      </w:r>
      <w:r>
        <w:rPr>
          <w:rStyle w:val="CharStyle14"/>
          <w:lang w:val="en-US" w:eastAsia="en-US"/>
        </w:rPr>
        <w:t xml:space="preserve">3 </w:t>
      </w:r>
      <w:r>
        <w:rPr>
          <w:rStyle w:val="CharStyle14"/>
        </w:rPr>
        <w:t xml:space="preserve">Постановления </w:t>
      </w:r>
      <w:r>
        <w:rPr>
          <w:rStyle w:val="CharStyle14"/>
          <w:lang w:val="en-US" w:eastAsia="en-US"/>
        </w:rPr>
        <w:t xml:space="preserve">№1875, </w:t>
      </w:r>
      <w:r>
        <w:rPr>
          <w:rStyle w:val="CharStyle14"/>
        </w:rPr>
        <w:t>является номер реестровой записи из реестра российской промышленной продукции.</w:t>
      </w:r>
    </w:p>
    <w:p>
      <w:pPr>
        <w:pStyle w:val="Style13"/>
        <w:keepNext w:val="0"/>
        <w:keepLines w:val="0"/>
        <w:widowControl w:val="0"/>
        <w:shd w:val="clear" w:color="auto" w:fill="auto"/>
        <w:bidi w:val="0"/>
        <w:spacing w:before="0" w:after="0" w:line="240" w:lineRule="auto"/>
        <w:ind w:left="0" w:right="0" w:firstLine="740"/>
        <w:jc w:val="both"/>
        <w:sectPr>
          <w:headerReference w:type="default" r:id="rId10"/>
          <w:footerReference w:type="default" r:id="rId11"/>
          <w:footnotePr>
            <w:pos w:val="pageBottom"/>
            <w:numFmt w:val="decimal"/>
            <w:numRestart w:val="continuous"/>
          </w:footnotePr>
          <w:pgSz w:w="11900" w:h="16840"/>
          <w:pgMar w:top="1695" w:right="535" w:bottom="1268" w:left="1098" w:header="0" w:footer="3" w:gutter="0"/>
          <w:cols w:space="720"/>
          <w:noEndnote/>
          <w:rtlGutter w:val="0"/>
          <w:docGrid w:linePitch="360"/>
        </w:sectPr>
      </w:pPr>
      <w:r>
        <w:rPr>
          <w:rStyle w:val="CharStyle14"/>
        </w:rPr>
        <w:t>При этом такая запись должна содержать информацию о совокупном количестве баллов за выполнение (освоение) на территории Российской Федерации соответствующих операций (условий).</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Аналогичные требования установлены в пункте </w:t>
      </w:r>
      <w:r>
        <w:rPr>
          <w:rStyle w:val="CharStyle14"/>
          <w:lang w:val="en-US" w:eastAsia="en-US"/>
        </w:rPr>
        <w:t xml:space="preserve">3 </w:t>
      </w:r>
      <w:r>
        <w:rPr>
          <w:rStyle w:val="CharStyle14"/>
        </w:rPr>
        <w:t>файла «Требования к содержанию заявки».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соответствии с Постановлением </w:t>
      </w:r>
      <w:r>
        <w:rPr>
          <w:rStyle w:val="CharStyle14"/>
          <w:lang w:val="en-US" w:eastAsia="en-US"/>
        </w:rPr>
        <w:t xml:space="preserve">№719 </w:t>
      </w:r>
      <w:r>
        <w:rPr>
          <w:rStyle w:val="CharStyle14"/>
        </w:rPr>
        <w:t xml:space="preserve">для товаров с кодом ОКПД2: </w:t>
      </w:r>
      <w:r>
        <w:rPr>
          <w:rStyle w:val="CharStyle14"/>
          <w:lang w:val="en-US" w:eastAsia="en-US"/>
        </w:rPr>
        <w:t xml:space="preserve">26.20.13 </w:t>
      </w:r>
      <w:r>
        <w:rPr>
          <w:rStyle w:val="CharStyle14"/>
        </w:rPr>
        <w:t xml:space="preserve">«Машины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 до </w:t>
      </w:r>
      <w:r>
        <w:rPr>
          <w:rStyle w:val="CharStyle14"/>
          <w:lang w:val="en-US" w:eastAsia="en-US"/>
        </w:rPr>
        <w:t xml:space="preserve">31 </w:t>
      </w:r>
      <w:r>
        <w:rPr>
          <w:rStyle w:val="CharStyle14"/>
        </w:rPr>
        <w:t xml:space="preserve">декабря </w:t>
      </w:r>
      <w:r>
        <w:rPr>
          <w:rStyle w:val="CharStyle14"/>
          <w:lang w:val="en-US" w:eastAsia="en-US"/>
        </w:rPr>
        <w:t xml:space="preserve">2022 </w:t>
      </w:r>
      <w:r>
        <w:rPr>
          <w:rStyle w:val="CharStyle14"/>
        </w:rPr>
        <w:t xml:space="preserve">г. </w:t>
      </w:r>
      <w:r>
        <w:rPr>
          <w:rStyle w:val="CharStyle14"/>
          <w:lang w:val="en-US" w:eastAsia="en-US"/>
        </w:rPr>
        <w:t xml:space="preserve">- </w:t>
      </w:r>
      <w:r>
        <w:rPr>
          <w:rStyle w:val="CharStyle14"/>
        </w:rPr>
        <w:t xml:space="preserve">не менее </w:t>
      </w:r>
      <w:r>
        <w:rPr>
          <w:rStyle w:val="CharStyle14"/>
          <w:lang w:val="en-US" w:eastAsia="en-US"/>
        </w:rPr>
        <w:t xml:space="preserve">90 </w:t>
      </w:r>
      <w:r>
        <w:rPr>
          <w:rStyle w:val="CharStyle14"/>
        </w:rPr>
        <w:t xml:space="preserve">баллов; с </w:t>
      </w:r>
      <w:r>
        <w:rPr>
          <w:rStyle w:val="CharStyle14"/>
          <w:lang w:val="en-US" w:eastAsia="en-US"/>
        </w:rPr>
        <w:t xml:space="preserve">1 </w:t>
      </w:r>
      <w:r>
        <w:rPr>
          <w:rStyle w:val="CharStyle14"/>
        </w:rPr>
        <w:t xml:space="preserve">января </w:t>
      </w:r>
      <w:r>
        <w:rPr>
          <w:rStyle w:val="CharStyle14"/>
          <w:lang w:val="en-US" w:eastAsia="en-US"/>
        </w:rPr>
        <w:t xml:space="preserve">2023 </w:t>
      </w:r>
      <w:r>
        <w:rPr>
          <w:rStyle w:val="CharStyle14"/>
        </w:rPr>
        <w:t xml:space="preserve">г. </w:t>
      </w:r>
      <w:r>
        <w:rPr>
          <w:rStyle w:val="CharStyle14"/>
          <w:lang w:val="en-US" w:eastAsia="en-US"/>
        </w:rPr>
        <w:t xml:space="preserve">- </w:t>
      </w:r>
      <w:r>
        <w:rPr>
          <w:rStyle w:val="CharStyle14"/>
        </w:rPr>
        <w:t xml:space="preserve">не менее </w:t>
      </w:r>
      <w:r>
        <w:rPr>
          <w:rStyle w:val="CharStyle14"/>
          <w:lang w:val="en-US" w:eastAsia="en-US"/>
        </w:rPr>
        <w:t xml:space="preserve">100 </w:t>
      </w:r>
      <w:r>
        <w:rPr>
          <w:rStyle w:val="CharStyle14"/>
        </w:rPr>
        <w:t xml:space="preserve">баллов; </w:t>
      </w:r>
      <w:r>
        <w:rPr>
          <w:rStyle w:val="CharStyle14"/>
          <w:u w:val="single"/>
        </w:rPr>
        <w:t xml:space="preserve">с </w:t>
      </w:r>
      <w:r>
        <w:rPr>
          <w:rStyle w:val="CharStyle14"/>
          <w:u w:val="single"/>
          <w:lang w:val="en-US" w:eastAsia="en-US"/>
        </w:rPr>
        <w:t xml:space="preserve">1 </w:t>
      </w:r>
      <w:r>
        <w:rPr>
          <w:rStyle w:val="CharStyle14"/>
          <w:u w:val="single"/>
        </w:rPr>
        <w:t xml:space="preserve">января </w:t>
      </w:r>
      <w:r>
        <w:rPr>
          <w:rStyle w:val="CharStyle14"/>
          <w:u w:val="single"/>
          <w:lang w:val="en-US" w:eastAsia="en-US"/>
        </w:rPr>
        <w:t xml:space="preserve">2024 </w:t>
      </w:r>
      <w:r>
        <w:rPr>
          <w:rStyle w:val="CharStyle14"/>
          <w:u w:val="single"/>
        </w:rPr>
        <w:t xml:space="preserve">г. </w:t>
      </w:r>
      <w:r>
        <w:rPr>
          <w:rStyle w:val="CharStyle14"/>
          <w:u w:val="single"/>
          <w:lang w:val="en-US" w:eastAsia="en-US"/>
        </w:rPr>
        <w:t xml:space="preserve">- </w:t>
      </w:r>
      <w:r>
        <w:rPr>
          <w:rStyle w:val="CharStyle14"/>
          <w:u w:val="single"/>
        </w:rPr>
        <w:t xml:space="preserve">не менее </w:t>
      </w:r>
      <w:r>
        <w:rPr>
          <w:rStyle w:val="CharStyle14"/>
          <w:u w:val="single"/>
          <w:lang w:val="en-US" w:eastAsia="en-US"/>
        </w:rPr>
        <w:t xml:space="preserve">140 </w:t>
      </w:r>
      <w:r>
        <w:rPr>
          <w:rStyle w:val="CharStyle14"/>
          <w:u w:val="single"/>
        </w:rPr>
        <w:t>баллов</w:t>
      </w:r>
      <w:r>
        <w:rPr>
          <w:rStyle w:val="CharStyle14"/>
        </w:rPr>
        <w:t>.</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Для товаров с кодом ОКПД2: </w:t>
      </w:r>
      <w:r>
        <w:rPr>
          <w:rStyle w:val="CharStyle14"/>
          <w:lang w:val="en-US" w:eastAsia="en-US"/>
        </w:rPr>
        <w:t xml:space="preserve">32.99.53.130 </w:t>
      </w:r>
      <w:r>
        <w:rPr>
          <w:rStyle w:val="CharStyle14"/>
        </w:rPr>
        <w:t xml:space="preserve">«Оборудование для практикума, демонстрационное оборудование и оборудование для проектной деятельности, оборудование для проведения фронтальных лабораторных работ и аттестации, цифровые лаборатории, учебно-методические наборы и конструкторы для изучения основ искусственного интеллекта и инженерно-космического образования» </w:t>
      </w:r>
      <w:r>
        <w:rPr>
          <w:rStyle w:val="CharStyle14"/>
          <w:lang w:val="en-US" w:eastAsia="en-US"/>
        </w:rPr>
        <w:t xml:space="preserve">- </w:t>
      </w:r>
      <w:r>
        <w:rPr>
          <w:rStyle w:val="CharStyle14"/>
          <w:u w:val="single"/>
        </w:rPr>
        <w:t xml:space="preserve">не менее </w:t>
      </w:r>
      <w:r>
        <w:rPr>
          <w:rStyle w:val="CharStyle14"/>
          <w:u w:val="single"/>
          <w:lang w:val="en-US" w:eastAsia="en-US"/>
        </w:rPr>
        <w:t xml:space="preserve">10 </w:t>
      </w:r>
      <w:r>
        <w:rPr>
          <w:rStyle w:val="CharStyle14"/>
          <w:u w:val="single"/>
        </w:rPr>
        <w:t>баллов</w:t>
      </w:r>
      <w:r>
        <w:rPr>
          <w:rStyle w:val="CharStyle14"/>
        </w:rPr>
        <w:t>.</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5 </w:t>
      </w:r>
      <w:r>
        <w:rPr>
          <w:rStyle w:val="CharStyle14"/>
        </w:rPr>
        <w:t xml:space="preserve">статьи </w:t>
      </w:r>
      <w:r>
        <w:rPr>
          <w:rStyle w:val="CharStyle14"/>
          <w:lang w:val="en-US" w:eastAsia="en-US"/>
        </w:rPr>
        <w:t xml:space="preserve">49 </w:t>
      </w:r>
      <w:r>
        <w:rPr>
          <w:rStyle w:val="CharStyle14"/>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9"/>
        </w:numPr>
        <w:shd w:val="clear" w:color="auto" w:fill="auto"/>
        <w:tabs>
          <w:tab w:pos="1072" w:val="left"/>
        </w:tabs>
        <w:bidi w:val="0"/>
        <w:spacing w:before="0" w:after="0" w:line="240" w:lineRule="auto"/>
        <w:ind w:left="0" w:right="0" w:firstLine="740"/>
        <w:jc w:val="both"/>
      </w:pPr>
      <w:r>
        <w:rPr>
          <w:rStyle w:val="CharStyle14"/>
        </w:rPr>
        <w:t>члены комиссии по осуществлению закупок:</w:t>
      </w:r>
    </w:p>
    <w:p>
      <w:pPr>
        <w:pStyle w:val="Style13"/>
        <w:keepNext w:val="0"/>
        <w:keepLines w:val="0"/>
        <w:widowControl w:val="0"/>
        <w:numPr>
          <w:ilvl w:val="0"/>
          <w:numId w:val="11"/>
        </w:numPr>
        <w:shd w:val="clear" w:color="auto" w:fill="auto"/>
        <w:tabs>
          <w:tab w:pos="1077" w:val="left"/>
        </w:tabs>
        <w:bidi w:val="0"/>
        <w:spacing w:before="0" w:after="0" w:line="240" w:lineRule="auto"/>
        <w:ind w:left="0" w:right="0" w:firstLine="740"/>
        <w:jc w:val="both"/>
      </w:pPr>
      <w:r>
        <w:rPr>
          <w:rStyle w:val="CharStyle14"/>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4"/>
          <w:lang w:val="en-US" w:eastAsia="en-US"/>
        </w:rPr>
        <w:t xml:space="preserve">4 </w:t>
      </w:r>
      <w:r>
        <w:rPr>
          <w:rStyle w:val="CharStyle14"/>
        </w:rPr>
        <w:t xml:space="preserve">части </w:t>
      </w:r>
      <w:r>
        <w:rPr>
          <w:rStyle w:val="CharStyle14"/>
          <w:lang w:val="en-US" w:eastAsia="en-US"/>
        </w:rPr>
        <w:t xml:space="preserve">4 </w:t>
      </w:r>
      <w:r>
        <w:rPr>
          <w:rStyle w:val="CharStyle14"/>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4"/>
          <w:lang w:val="en-US" w:eastAsia="en-US"/>
        </w:rPr>
        <w:t xml:space="preserve">1 - 8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настоящего Федерального закона;</w:t>
      </w:r>
    </w:p>
    <w:p>
      <w:pPr>
        <w:pStyle w:val="Style13"/>
        <w:keepNext w:val="0"/>
        <w:keepLines w:val="0"/>
        <w:widowControl w:val="0"/>
        <w:numPr>
          <w:ilvl w:val="0"/>
          <w:numId w:val="11"/>
        </w:numPr>
        <w:shd w:val="clear" w:color="auto" w:fill="auto"/>
        <w:tabs>
          <w:tab w:pos="1077" w:val="left"/>
        </w:tabs>
        <w:bidi w:val="0"/>
        <w:spacing w:before="0" w:after="0" w:line="240" w:lineRule="auto"/>
        <w:ind w:left="0" w:right="0" w:firstLine="740"/>
        <w:jc w:val="both"/>
      </w:pPr>
      <w:r>
        <w:rPr>
          <w:rStyle w:val="CharStyle14"/>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4"/>
          <w:lang w:val="en-US" w:eastAsia="en-US"/>
        </w:rPr>
        <w:t xml:space="preserve">9 </w:t>
      </w:r>
      <w:r>
        <w:rPr>
          <w:rStyle w:val="CharStyle14"/>
        </w:rPr>
        <w:t xml:space="preserve">части </w:t>
      </w:r>
      <w:r>
        <w:rPr>
          <w:rStyle w:val="CharStyle14"/>
          <w:lang w:val="en-US" w:eastAsia="en-US"/>
        </w:rPr>
        <w:t xml:space="preserve">3 </w:t>
      </w:r>
      <w:r>
        <w:rPr>
          <w:rStyle w:val="CharStyle14"/>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4"/>
          <w:lang w:val="en-US" w:eastAsia="en-US"/>
        </w:rPr>
        <w:t xml:space="preserve">9 </w:t>
      </w:r>
      <w:r>
        <w:rPr>
          <w:rStyle w:val="CharStyle14"/>
        </w:rPr>
        <w:t xml:space="preserve">части </w:t>
      </w:r>
      <w:r>
        <w:rPr>
          <w:rStyle w:val="CharStyle14"/>
          <w:lang w:val="en-US" w:eastAsia="en-US"/>
        </w:rPr>
        <w:t xml:space="preserve">3 </w:t>
      </w:r>
      <w:r>
        <w:rPr>
          <w:rStyle w:val="CharStyle14"/>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4"/>
          <w:lang w:val="en-US" w:eastAsia="en-US"/>
        </w:rPr>
        <w:t xml:space="preserve">14 </w:t>
      </w:r>
      <w:r>
        <w:rPr>
          <w:rStyle w:val="CharStyle14"/>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9"/>
        </w:numPr>
        <w:shd w:val="clear" w:color="auto" w:fill="auto"/>
        <w:tabs>
          <w:tab w:pos="1077" w:val="left"/>
        </w:tabs>
        <w:bidi w:val="0"/>
        <w:spacing w:before="0" w:after="0" w:line="266" w:lineRule="auto"/>
        <w:ind w:left="0" w:right="0" w:firstLine="740"/>
        <w:jc w:val="both"/>
        <w:rPr>
          <w:sz w:val="24"/>
          <w:szCs w:val="24"/>
        </w:rPr>
        <w:sectPr>
          <w:headerReference w:type="default" r:id="rId12"/>
          <w:footerReference w:type="default" r:id="rId13"/>
          <w:footnotePr>
            <w:pos w:val="pageBottom"/>
            <w:numFmt w:val="decimal"/>
            <w:numRestart w:val="continuous"/>
          </w:footnotePr>
          <w:pgSz w:w="11900" w:h="16840"/>
          <w:pgMar w:top="1695" w:right="535" w:bottom="807" w:left="1098" w:header="0" w:footer="379" w:gutter="0"/>
          <w:cols w:space="720"/>
          <w:noEndnote/>
          <w:rtlGutter w:val="0"/>
          <w:docGrid w:linePitch="360"/>
        </w:sectPr>
      </w:pPr>
      <w:r>
        <w:rPr>
          <w:rStyle w:val="CharStyle14"/>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4"/>
          <w:lang w:val="en-US" w:eastAsia="en-US"/>
        </w:rPr>
        <w:t xml:space="preserve">1, 2, 4 - 7 </w:t>
      </w:r>
      <w:r>
        <w:rPr>
          <w:rStyle w:val="CharStyle14"/>
        </w:rPr>
        <w:t xml:space="preserve">части </w:t>
      </w:r>
      <w:r>
        <w:rPr>
          <w:rStyle w:val="CharStyle14"/>
          <w:lang w:val="en-US" w:eastAsia="en-US"/>
        </w:rPr>
        <w:t xml:space="preserve">17 </w:t>
      </w:r>
      <w:r>
        <w:rPr>
          <w:rStyle w:val="CharStyle14"/>
        </w:rPr>
        <w:t xml:space="preserve">статьи </w:t>
      </w:r>
      <w:r>
        <w:rPr>
          <w:rStyle w:val="CharStyle14"/>
          <w:lang w:val="en-US" w:eastAsia="en-US"/>
        </w:rPr>
        <w:t xml:space="preserve">48 </w:t>
      </w:r>
      <w:r>
        <w:rPr>
          <w:rStyle w:val="CharStyle14"/>
        </w:rPr>
        <w:t xml:space="preserve">настоящего Федерального закона. После подписания членами комиссии по осуществлению закупок такого протокола усиленными электронными подписями </w:t>
      </w:r>
      <w:r>
        <w:rPr>
          <w:rStyle w:val="CharStyle14"/>
          <w:sz w:val="24"/>
          <w:szCs w:val="24"/>
          <w:lang w:val="en-US" w:eastAsia="en-US"/>
        </w:rPr>
        <w:t>2026-2912</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пп. «а» п. </w:t>
      </w:r>
      <w:r>
        <w:rPr>
          <w:rStyle w:val="CharStyle14"/>
          <w:lang w:val="en-US" w:eastAsia="en-US"/>
        </w:rPr>
        <w:t xml:space="preserve">2 </w:t>
      </w:r>
      <w:r>
        <w:rPr>
          <w:rStyle w:val="CharStyle14"/>
        </w:rPr>
        <w:t xml:space="preserve">ч. </w:t>
      </w:r>
      <w:r>
        <w:rPr>
          <w:rStyle w:val="CharStyle14"/>
          <w:lang w:val="en-US" w:eastAsia="en-US"/>
        </w:rPr>
        <w:t xml:space="preserve">4 </w:t>
      </w:r>
      <w:r>
        <w:rPr>
          <w:rStyle w:val="CharStyle14"/>
        </w:rPr>
        <w:t xml:space="preserve">ст. </w:t>
      </w:r>
      <w:r>
        <w:rPr>
          <w:rStyle w:val="CharStyle14"/>
          <w:lang w:val="en-US" w:eastAsia="en-US"/>
        </w:rPr>
        <w:t xml:space="preserve">14 </w:t>
      </w:r>
      <w:r>
        <w:rPr>
          <w:rStyle w:val="CharStyle14"/>
        </w:rPr>
        <w:t xml:space="preserve">Закона о контрактной системе если Правительством Российской Федерации установлено предусмотренное 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4"/>
          <w:lang w:val="en-US" w:eastAsia="en-US"/>
        </w:rPr>
        <w:t xml:space="preserve">2 </w:t>
      </w:r>
      <w:r>
        <w:rPr>
          <w:rStyle w:val="CharStyle14"/>
        </w:rPr>
        <w:t xml:space="preserve">и </w:t>
      </w:r>
      <w:r>
        <w:rPr>
          <w:rStyle w:val="CharStyle14"/>
          <w:lang w:val="en-US" w:eastAsia="en-US"/>
        </w:rPr>
        <w:t xml:space="preserve">3 </w:t>
      </w:r>
      <w:r>
        <w:rPr>
          <w:rStyle w:val="CharStyle14"/>
        </w:rPr>
        <w:t xml:space="preserve">части </w:t>
      </w:r>
      <w:r>
        <w:rPr>
          <w:rStyle w:val="CharStyle14"/>
          <w:lang w:val="en-US" w:eastAsia="en-US"/>
        </w:rPr>
        <w:t xml:space="preserve">6 </w:t>
      </w:r>
      <w:r>
        <w:rPr>
          <w:rStyle w:val="CharStyle14"/>
        </w:rPr>
        <w:t xml:space="preserve">статьи </w:t>
      </w:r>
      <w:r>
        <w:rPr>
          <w:rStyle w:val="CharStyle14"/>
          <w:lang w:val="en-US" w:eastAsia="en-US"/>
        </w:rPr>
        <w:t xml:space="preserve">43 </w:t>
      </w:r>
      <w:r>
        <w:rPr>
          <w:rStyle w:val="CharStyle14"/>
        </w:rPr>
        <w:t>настоящего Федерального закона), несоответствия такой информации и таких документов требованиям, установленным в извещении об осуществлении закупки;</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непредставления информации и документов, предусмотренных пунктами </w:t>
      </w:r>
      <w:r>
        <w:rPr>
          <w:rStyle w:val="CharStyle14"/>
          <w:lang w:val="en-US" w:eastAsia="en-US"/>
        </w:rPr>
        <w:t xml:space="preserve">2 </w:t>
      </w:r>
      <w:r>
        <w:rPr>
          <w:rStyle w:val="CharStyle14"/>
        </w:rPr>
        <w:t xml:space="preserve">и </w:t>
      </w:r>
      <w:r>
        <w:rPr>
          <w:rStyle w:val="CharStyle14"/>
          <w:lang w:val="en-US" w:eastAsia="en-US"/>
        </w:rPr>
        <w:t xml:space="preserve">3 </w:t>
      </w:r>
      <w:r>
        <w:rPr>
          <w:rStyle w:val="CharStyle14"/>
        </w:rPr>
        <w:t xml:space="preserve">части </w:t>
      </w:r>
      <w:r>
        <w:rPr>
          <w:rStyle w:val="CharStyle14"/>
          <w:lang w:val="en-US" w:eastAsia="en-US"/>
        </w:rPr>
        <w:t xml:space="preserve">6 </w:t>
      </w:r>
      <w:r>
        <w:rPr>
          <w:rStyle w:val="CharStyle14"/>
        </w:rPr>
        <w:t xml:space="preserve">статьи </w:t>
      </w:r>
      <w:r>
        <w:rPr>
          <w:rStyle w:val="CharStyle14"/>
          <w:lang w:val="en-US" w:eastAsia="en-US"/>
        </w:rPr>
        <w:t xml:space="preserve">43 </w:t>
      </w:r>
      <w:r>
        <w:rPr>
          <w:rStyle w:val="CharStyle14"/>
        </w:rPr>
        <w:t>настоящего Федерального закона, несоответствия такой информации и таких документов требованиям, установленным в извещении об осуществлении закупки;</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4"/>
          <w:lang w:val="en-US" w:eastAsia="en-US"/>
        </w:rPr>
        <w:t xml:space="preserve">1.1, 2 </w:t>
      </w:r>
      <w:r>
        <w:rPr>
          <w:rStyle w:val="CharStyle14"/>
        </w:rPr>
        <w:t xml:space="preserve">и </w:t>
      </w:r>
      <w:r>
        <w:rPr>
          <w:rStyle w:val="CharStyle14"/>
          <w:lang w:val="en-US" w:eastAsia="en-US"/>
        </w:rPr>
        <w:t xml:space="preserve">2.1 </w:t>
      </w:r>
      <w:r>
        <w:rPr>
          <w:rStyle w:val="CharStyle14"/>
        </w:rPr>
        <w:t xml:space="preserve">(при наличии таких требований) статьи </w:t>
      </w:r>
      <w:r>
        <w:rPr>
          <w:rStyle w:val="CharStyle14"/>
          <w:lang w:val="en-US" w:eastAsia="en-US"/>
        </w:rPr>
        <w:t xml:space="preserve">31 </w:t>
      </w:r>
      <w:r>
        <w:rPr>
          <w:rStyle w:val="CharStyle14"/>
        </w:rPr>
        <w:t>настоящего Федерального закона;</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предусмотренных подпунктом «а» пункта </w:t>
      </w:r>
      <w:r>
        <w:rPr>
          <w:rStyle w:val="CharStyle14"/>
          <w:lang w:val="en-US" w:eastAsia="en-US"/>
        </w:rPr>
        <w:t xml:space="preserve">1 </w:t>
      </w:r>
      <w:r>
        <w:rPr>
          <w:rStyle w:val="CharStyle14"/>
        </w:rPr>
        <w:t xml:space="preserve">(за исключением случая, предусмотренного пунктом </w:t>
      </w:r>
      <w:r>
        <w:rPr>
          <w:rStyle w:val="CharStyle14"/>
          <w:lang w:val="en-US" w:eastAsia="en-US"/>
        </w:rPr>
        <w:t xml:space="preserve">5 </w:t>
      </w:r>
      <w:r>
        <w:rPr>
          <w:rStyle w:val="CharStyle14"/>
        </w:rPr>
        <w:t xml:space="preserve">настоящей части), подпунктом «а» пункта </w:t>
      </w:r>
      <w:r>
        <w:rPr>
          <w:rStyle w:val="CharStyle14"/>
          <w:lang w:val="en-US" w:eastAsia="en-US"/>
        </w:rPr>
        <w:t xml:space="preserve">2 </w:t>
      </w:r>
      <w:r>
        <w:rPr>
          <w:rStyle w:val="CharStyle14"/>
        </w:rPr>
        <w:t xml:space="preserve">части </w:t>
      </w:r>
      <w:r>
        <w:rPr>
          <w:rStyle w:val="CharStyle14"/>
          <w:lang w:val="en-US" w:eastAsia="en-US"/>
        </w:rPr>
        <w:t xml:space="preserve">4, </w:t>
      </w:r>
      <w:r>
        <w:rPr>
          <w:rStyle w:val="CharStyle14"/>
        </w:rPr>
        <w:t xml:space="preserve">подпунктом «а» пункта </w:t>
      </w:r>
      <w:r>
        <w:rPr>
          <w:rStyle w:val="CharStyle14"/>
          <w:lang w:val="en-US" w:eastAsia="en-US"/>
        </w:rPr>
        <w:t xml:space="preserve">1 </w:t>
      </w:r>
      <w:r>
        <w:rPr>
          <w:rStyle w:val="CharStyle14"/>
        </w:rPr>
        <w:t xml:space="preserve">(за исключением случая, предусмотренного пунктом </w:t>
      </w:r>
      <w:r>
        <w:rPr>
          <w:rStyle w:val="CharStyle14"/>
          <w:lang w:val="en-US" w:eastAsia="en-US"/>
        </w:rPr>
        <w:t xml:space="preserve">5 </w:t>
      </w:r>
      <w:r>
        <w:rPr>
          <w:rStyle w:val="CharStyle14"/>
        </w:rPr>
        <w:t xml:space="preserve">настоящей части), пунктом </w:t>
      </w:r>
      <w:r>
        <w:rPr>
          <w:rStyle w:val="CharStyle14"/>
          <w:lang w:val="en-US" w:eastAsia="en-US"/>
        </w:rPr>
        <w:t xml:space="preserve">2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14 </w:t>
      </w:r>
      <w:r>
        <w:rPr>
          <w:rStyle w:val="CharStyle14"/>
        </w:rPr>
        <w:t>настоящего Федерального закона;</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непредставления информации и документов, предусмотренных пунктом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 xml:space="preserve">настоящего Федерального закона, если такие информация и документы определены в соответствии с пунктом </w:t>
      </w:r>
      <w:r>
        <w:rPr>
          <w:rStyle w:val="CharStyle14"/>
          <w:lang w:val="en-US" w:eastAsia="en-US"/>
        </w:rPr>
        <w:t xml:space="preserve">2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настоящего Федерального закона (в случае установления в соответствии с подпунктом «а» пункта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в извещении об осуществлении закупки запрета закупок товара, происходящего из иностранного государства);</w:t>
      </w:r>
    </w:p>
    <w:p>
      <w:pPr>
        <w:pStyle w:val="Style13"/>
        <w:keepNext w:val="0"/>
        <w:keepLines w:val="0"/>
        <w:widowControl w:val="0"/>
        <w:numPr>
          <w:ilvl w:val="0"/>
          <w:numId w:val="13"/>
        </w:numPr>
        <w:shd w:val="clear" w:color="auto" w:fill="auto"/>
        <w:tabs>
          <w:tab w:pos="1805" w:val="left"/>
        </w:tabs>
        <w:bidi w:val="0"/>
        <w:spacing w:before="0" w:after="0" w:line="240" w:lineRule="auto"/>
        <w:ind w:left="0" w:right="0" w:firstLine="720"/>
        <w:jc w:val="both"/>
      </w:pPr>
      <w:r>
        <w:rPr>
          <w:rStyle w:val="CharStyle14"/>
        </w:rPr>
        <w:t>выявления отнесения участника закупки к организациям, предусмотренным</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пунктом </w:t>
      </w:r>
      <w:r>
        <w:rPr>
          <w:rStyle w:val="CharStyle14"/>
          <w:lang w:val="en-US" w:eastAsia="en-US"/>
        </w:rPr>
        <w:t xml:space="preserve">4 </w:t>
      </w:r>
      <w:r>
        <w:rPr>
          <w:rStyle w:val="CharStyle14"/>
        </w:rPr>
        <w:t xml:space="preserve">статьи </w:t>
      </w:r>
      <w:r>
        <w:rPr>
          <w:rStyle w:val="CharStyle14"/>
          <w:lang w:val="en-US" w:eastAsia="en-US"/>
        </w:rPr>
        <w:t xml:space="preserve">2 </w:t>
      </w:r>
      <w:r>
        <w:rPr>
          <w:rStyle w:val="CharStyle14"/>
        </w:rPr>
        <w:t xml:space="preserve">Федерального закона от </w:t>
      </w:r>
      <w:r>
        <w:rPr>
          <w:rStyle w:val="CharStyle14"/>
          <w:lang w:val="en-US" w:eastAsia="en-US"/>
        </w:rPr>
        <w:t xml:space="preserve">4 </w:t>
      </w:r>
      <w:r>
        <w:rPr>
          <w:rStyle w:val="CharStyle14"/>
        </w:rPr>
        <w:t xml:space="preserve">июня </w:t>
      </w:r>
      <w:r>
        <w:rPr>
          <w:rStyle w:val="CharStyle14"/>
          <w:lang w:val="en-US" w:eastAsia="en-US"/>
        </w:rPr>
        <w:t xml:space="preserve">2018 </w:t>
      </w:r>
      <w:r>
        <w:rPr>
          <w:rStyle w:val="CharStyle14"/>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13"/>
        </w:numPr>
        <w:shd w:val="clear" w:color="auto" w:fill="auto"/>
        <w:tabs>
          <w:tab w:pos="1805" w:val="left"/>
        </w:tabs>
        <w:bidi w:val="0"/>
        <w:spacing w:before="0" w:after="0" w:line="240" w:lineRule="auto"/>
        <w:ind w:left="0" w:right="0" w:firstLine="720"/>
        <w:jc w:val="both"/>
      </w:pPr>
      <w:r>
        <w:rPr>
          <w:rStyle w:val="CharStyle14"/>
        </w:rPr>
        <w:t xml:space="preserve">предусмотренных частью </w:t>
      </w:r>
      <w:r>
        <w:rPr>
          <w:rStyle w:val="CharStyle14"/>
          <w:lang w:val="en-US" w:eastAsia="en-US"/>
        </w:rPr>
        <w:t xml:space="preserve">6 </w:t>
      </w:r>
      <w:r>
        <w:rPr>
          <w:rStyle w:val="CharStyle14"/>
        </w:rPr>
        <w:t xml:space="preserve">статьи </w:t>
      </w:r>
      <w:r>
        <w:rPr>
          <w:rStyle w:val="CharStyle14"/>
          <w:lang w:val="en-US" w:eastAsia="en-US"/>
        </w:rPr>
        <w:t xml:space="preserve">45 </w:t>
      </w:r>
      <w:r>
        <w:rPr>
          <w:rStyle w:val="CharStyle14"/>
        </w:rPr>
        <w:t>настоящего Федерального закона;</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выявления недостоверной информации, содержащейся в заявке на участие в закупке;</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указания информации о предложении участника закупки, предусмотренном пунктом </w:t>
      </w:r>
      <w:r>
        <w:rPr>
          <w:rStyle w:val="CharStyle14"/>
          <w:lang w:val="en-US" w:eastAsia="en-US"/>
        </w:rPr>
        <w:t xml:space="preserve">3 </w:t>
      </w:r>
      <w:r>
        <w:rPr>
          <w:rStyle w:val="CharStyle14"/>
        </w:rPr>
        <w:t xml:space="preserve">или пунктом </w:t>
      </w:r>
      <w:r>
        <w:rPr>
          <w:rStyle w:val="CharStyle14"/>
          <w:lang w:val="en-US" w:eastAsia="en-US"/>
        </w:rPr>
        <w:t xml:space="preserve">4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протоколом подведения итогов определения поставщика (подрядчика, исполнителя) от </w:t>
      </w:r>
      <w:r>
        <w:rPr>
          <w:rStyle w:val="CharStyle14"/>
          <w:lang w:val="en-US" w:eastAsia="en-US"/>
        </w:rPr>
        <w:t xml:space="preserve">20.04.2026 </w:t>
      </w:r>
      <w:r>
        <w:rPr>
          <w:rStyle w:val="CharStyle14"/>
        </w:rPr>
        <w:t>№ИЭА1 все заявки участников признаны соответствующими требованиям Извещения и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Комиссией Томского УФАС России по итогам анализа заявок участников установлено следующее:</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заявка </w:t>
      </w:r>
      <w:r>
        <w:rPr>
          <w:rStyle w:val="CharStyle14"/>
          <w:lang w:val="en-US" w:eastAsia="en-US"/>
        </w:rPr>
        <w:t xml:space="preserve">№1 </w:t>
      </w:r>
      <w:r>
        <w:rPr>
          <w:rStyle w:val="CharStyle14"/>
        </w:rPr>
        <w:t xml:space="preserve">(идентификационный номер участника </w:t>
      </w:r>
      <w:r>
        <w:rPr>
          <w:rStyle w:val="CharStyle14"/>
          <w:lang w:val="en-US" w:eastAsia="en-US"/>
        </w:rPr>
        <w:t xml:space="preserve">121025003) </w:t>
      </w:r>
      <w:r>
        <w:rPr>
          <w:rStyle w:val="CharStyle14"/>
        </w:rPr>
        <w:t xml:space="preserve">содержит предложение о поставке товара по позиции </w:t>
      </w:r>
      <w:r>
        <w:rPr>
          <w:rStyle w:val="CharStyle14"/>
          <w:lang w:val="en-US" w:eastAsia="en-US"/>
        </w:rPr>
        <w:t xml:space="preserve">№1 </w:t>
      </w:r>
      <w:r>
        <w:rPr>
          <w:rStyle w:val="CharStyle14"/>
        </w:rPr>
        <w:t xml:space="preserve">«Рельсовая система раздвижных аудиторных досок магнитных меловых «Стандарт»», с кодом ОКПД2 </w:t>
      </w:r>
      <w:r>
        <w:rPr>
          <w:rStyle w:val="CharStyle14"/>
          <w:lang w:val="en-US" w:eastAsia="en-US"/>
        </w:rPr>
        <w:t xml:space="preserve">32.99.53.130 </w:t>
      </w:r>
      <w:r>
        <w:rPr>
          <w:rStyle w:val="CharStyle14"/>
        </w:rPr>
        <w:t xml:space="preserve">с указанием номера из реестра промышленной продукции </w:t>
      </w:r>
      <w:r>
        <w:rPr>
          <w:rStyle w:val="CharStyle14"/>
          <w:lang w:val="en-US" w:eastAsia="en-US"/>
        </w:rPr>
        <w:t xml:space="preserve">10551749, </w:t>
      </w:r>
      <w:r>
        <w:rPr>
          <w:rStyle w:val="CharStyle14"/>
        </w:rPr>
        <w:t xml:space="preserve">без информации о совокупном количестве баллов за выполнение (освоение) на территории Российской Федерации таких операций (условий); по позиции </w:t>
      </w:r>
      <w:r>
        <w:rPr>
          <w:rStyle w:val="CharStyle14"/>
          <w:lang w:val="en-US" w:eastAsia="en-US"/>
        </w:rPr>
        <w:t xml:space="preserve">№2 </w:t>
      </w:r>
      <w:r>
        <w:rPr>
          <w:rStyle w:val="CharStyle14"/>
        </w:rPr>
        <w:t xml:space="preserve">«Интерактивная панель (комплекс) </w:t>
      </w:r>
      <w:r>
        <w:rPr>
          <w:rStyle w:val="CharStyle14"/>
          <w:lang w:val="en-US" w:eastAsia="en-US"/>
        </w:rPr>
        <w:t xml:space="preserve">NextPanel 75C KR 205 AA-W0 </w:t>
      </w:r>
      <w:r>
        <w:rPr>
          <w:rStyle w:val="CharStyle14"/>
        </w:rPr>
        <w:t xml:space="preserve">(ТЦНР.0417508.00.00.000)» с кодом ОКПД2 </w:t>
      </w:r>
      <w:r>
        <w:rPr>
          <w:rStyle w:val="CharStyle14"/>
          <w:lang w:val="en-US" w:eastAsia="en-US"/>
        </w:rPr>
        <w:t xml:space="preserve">26.20.13.000 </w:t>
      </w:r>
      <w:r>
        <w:rPr>
          <w:rStyle w:val="CharStyle14"/>
        </w:rPr>
        <w:t xml:space="preserve">с указанием номера из реестра промышленной продукции </w:t>
      </w:r>
      <w:r>
        <w:rPr>
          <w:rStyle w:val="CharStyle14"/>
          <w:lang w:val="en-US" w:eastAsia="en-US"/>
        </w:rPr>
        <w:t xml:space="preserve">10685628,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173,00;</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pPr>
      <w:r>
        <w:rPr>
          <w:rStyle w:val="CharStyle14"/>
        </w:rPr>
        <w:t xml:space="preserve">заявка </w:t>
      </w:r>
      <w:r>
        <w:rPr>
          <w:rStyle w:val="CharStyle14"/>
          <w:lang w:val="en-US" w:eastAsia="en-US"/>
        </w:rPr>
        <w:t xml:space="preserve">№2 </w:t>
      </w:r>
      <w:r>
        <w:rPr>
          <w:rStyle w:val="CharStyle14"/>
        </w:rPr>
        <w:t xml:space="preserve">(идентификационный номер участника </w:t>
      </w:r>
      <w:r>
        <w:rPr>
          <w:rStyle w:val="CharStyle14"/>
          <w:lang w:val="en-US" w:eastAsia="en-US"/>
        </w:rPr>
        <w:t xml:space="preserve">121018672) </w:t>
      </w:r>
      <w:r>
        <w:rPr>
          <w:rStyle w:val="CharStyle14"/>
        </w:rPr>
        <w:t xml:space="preserve">содержит предложение о поставке товара по позиции </w:t>
      </w:r>
      <w:r>
        <w:rPr>
          <w:rStyle w:val="CharStyle14"/>
          <w:lang w:val="en-US" w:eastAsia="en-US"/>
        </w:rPr>
        <w:t xml:space="preserve">№1 </w:t>
      </w:r>
      <w:r>
        <w:rPr>
          <w:rStyle w:val="CharStyle14"/>
        </w:rPr>
        <w:t xml:space="preserve">«Система рельсовая для классных досок», с кодом ОКПД2 </w:t>
      </w:r>
      <w:r>
        <w:rPr>
          <w:rStyle w:val="CharStyle14"/>
          <w:lang w:val="en-US" w:eastAsia="en-US"/>
        </w:rPr>
        <w:t xml:space="preserve">31.09.11.190 </w:t>
      </w:r>
      <w:r>
        <w:rPr>
          <w:rStyle w:val="CharStyle14"/>
        </w:rPr>
        <w:t xml:space="preserve">с указанием номера из реестра промышленной продукции </w:t>
      </w:r>
      <w:r>
        <w:rPr>
          <w:rStyle w:val="CharStyle14"/>
          <w:lang w:val="en-US" w:eastAsia="en-US"/>
        </w:rPr>
        <w:t xml:space="preserve">10743296,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 xml:space="preserve">90,00; </w:t>
      </w:r>
      <w:r>
        <w:rPr>
          <w:rStyle w:val="CharStyle14"/>
        </w:rPr>
        <w:t xml:space="preserve">по позиции </w:t>
      </w:r>
      <w:r>
        <w:rPr>
          <w:rStyle w:val="CharStyle14"/>
          <w:lang w:val="en-US" w:eastAsia="en-US"/>
        </w:rPr>
        <w:t xml:space="preserve">№2 </w:t>
      </w:r>
      <w:r>
        <w:rPr>
          <w:rStyle w:val="CharStyle14"/>
        </w:rPr>
        <w:t xml:space="preserve">«Интерактивная панель </w:t>
      </w:r>
      <w:r>
        <w:rPr>
          <w:rStyle w:val="CharStyle14"/>
          <w:lang w:val="en-US" w:eastAsia="en-US"/>
        </w:rPr>
        <w:t xml:space="preserve">Galaсtiсa 75 </w:t>
      </w:r>
      <w:r>
        <w:rPr>
          <w:rStyle w:val="CharStyle14"/>
        </w:rPr>
        <w:t xml:space="preserve">НБСВ.466513.019-02» с кодом ОКПД2 </w:t>
      </w:r>
      <w:r>
        <w:rPr>
          <w:rStyle w:val="CharStyle14"/>
          <w:lang w:val="en-US" w:eastAsia="en-US"/>
        </w:rPr>
        <w:t xml:space="preserve">26.20.13 </w:t>
      </w:r>
      <w:r>
        <w:rPr>
          <w:rStyle w:val="CharStyle14"/>
        </w:rPr>
        <w:t xml:space="preserve">с указанием номера из реестра промышленной продукции </w:t>
      </w:r>
      <w:r>
        <w:rPr>
          <w:rStyle w:val="CharStyle14"/>
          <w:lang w:val="en-US" w:eastAsia="en-US"/>
        </w:rPr>
        <w:t xml:space="preserve">10598766,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147,00;</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20"/>
        <w:jc w:val="both"/>
        <w:sectPr>
          <w:headerReference w:type="default" r:id="rId14"/>
          <w:footerReference w:type="default" r:id="rId15"/>
          <w:footnotePr>
            <w:pos w:val="pageBottom"/>
            <w:numFmt w:val="decimal"/>
            <w:numRestart w:val="continuous"/>
          </w:footnotePr>
          <w:pgSz w:w="11900" w:h="16840"/>
          <w:pgMar w:top="1695" w:right="535" w:bottom="1268" w:left="1103" w:header="0" w:footer="3" w:gutter="0"/>
          <w:cols w:space="720"/>
          <w:noEndnote/>
          <w:rtlGutter w:val="0"/>
          <w:docGrid w:linePitch="360"/>
        </w:sectPr>
      </w:pPr>
      <w:r>
        <w:rPr>
          <w:rStyle w:val="CharStyle14"/>
        </w:rPr>
        <w:t xml:space="preserve">заявка </w:t>
      </w:r>
      <w:r>
        <w:rPr>
          <w:rStyle w:val="CharStyle14"/>
          <w:lang w:val="en-US" w:eastAsia="en-US"/>
        </w:rPr>
        <w:t xml:space="preserve">№3 </w:t>
      </w:r>
      <w:r>
        <w:rPr>
          <w:rStyle w:val="CharStyle14"/>
        </w:rPr>
        <w:t xml:space="preserve">(идентификационный номер участника </w:t>
      </w:r>
      <w:r>
        <w:rPr>
          <w:rStyle w:val="CharStyle14"/>
          <w:lang w:val="en-US" w:eastAsia="en-US"/>
        </w:rPr>
        <w:t xml:space="preserve">121040749) </w:t>
      </w:r>
      <w:r>
        <w:rPr>
          <w:rStyle w:val="CharStyle14"/>
        </w:rPr>
        <w:t xml:space="preserve">содержит предложение о поставке товара по позиции </w:t>
      </w:r>
      <w:r>
        <w:rPr>
          <w:rStyle w:val="CharStyle14"/>
          <w:lang w:val="en-US" w:eastAsia="en-US"/>
        </w:rPr>
        <w:t xml:space="preserve">№1 </w:t>
      </w:r>
      <w:r>
        <w:rPr>
          <w:rStyle w:val="CharStyle14"/>
        </w:rPr>
        <w:t xml:space="preserve">«Рельсовая система Лайт торговой марки «Скило»», с кодом ОКПД2 </w:t>
      </w:r>
      <w:r>
        <w:rPr>
          <w:rStyle w:val="CharStyle14"/>
          <w:lang w:val="en-US" w:eastAsia="en-US"/>
        </w:rPr>
        <w:t xml:space="preserve">32.99.53.130 </w:t>
      </w:r>
      <w:r>
        <w:rPr>
          <w:rStyle w:val="CharStyle14"/>
        </w:rPr>
        <w:t xml:space="preserve">с указанием номера из реестра промышленной продукции </w:t>
      </w:r>
      <w:r>
        <w:rPr>
          <w:rStyle w:val="CharStyle14"/>
          <w:lang w:val="en-US" w:eastAsia="en-US"/>
        </w:rPr>
        <w:t xml:space="preserve">10793056,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 xml:space="preserve">15,0; </w:t>
      </w:r>
      <w:r>
        <w:rPr>
          <w:rStyle w:val="CharStyle14"/>
        </w:rPr>
        <w:t xml:space="preserve">по позиции </w:t>
      </w:r>
      <w:r>
        <w:rPr>
          <w:rStyle w:val="CharStyle14"/>
          <w:lang w:val="en-US" w:eastAsia="en-US"/>
        </w:rPr>
        <w:t xml:space="preserve">№2 </w:t>
      </w:r>
      <w:r>
        <w:rPr>
          <w:rStyle w:val="CharStyle14"/>
        </w:rPr>
        <w:t xml:space="preserve">«Интерактивная панель </w:t>
      </w:r>
      <w:r>
        <w:rPr>
          <w:rStyle w:val="CharStyle14"/>
          <w:lang w:val="en-US" w:eastAsia="en-US"/>
        </w:rPr>
        <w:t xml:space="preserve">LigaSmart, </w:t>
      </w:r>
      <w:r>
        <w:rPr>
          <w:rStyle w:val="CharStyle14"/>
        </w:rPr>
        <w:t xml:space="preserve">модель </w:t>
      </w:r>
      <w:r>
        <w:rPr>
          <w:rStyle w:val="CharStyle14"/>
          <w:lang w:val="en-US" w:eastAsia="en-US"/>
        </w:rPr>
        <w:t xml:space="preserve">IP 75 A14 </w:t>
      </w:r>
      <w:r>
        <w:rPr>
          <w:rStyle w:val="CharStyle14"/>
        </w:rPr>
        <w:t xml:space="preserve">(МТЛГ.466219.006-01.75)» с кодом ОКПД2 </w:t>
      </w:r>
      <w:r>
        <w:rPr>
          <w:rStyle w:val="CharStyle14"/>
          <w:lang w:val="en-US" w:eastAsia="en-US"/>
        </w:rPr>
        <w:t xml:space="preserve">26.20.13.000 </w:t>
      </w:r>
      <w:r>
        <w:rPr>
          <w:rStyle w:val="CharStyle14"/>
        </w:rPr>
        <w:t xml:space="preserve">с указанием номера из реестра промышленной продукции </w:t>
      </w:r>
      <w:r>
        <w:rPr>
          <w:rStyle w:val="CharStyle14"/>
          <w:lang w:val="en-US" w:eastAsia="en-US"/>
        </w:rPr>
        <w:t xml:space="preserve">10706110, </w:t>
      </w:r>
      <w:r>
        <w:rPr>
          <w:rStyle w:val="CharStyle14"/>
        </w:rPr>
        <w:t>с указанием</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158,0;</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40"/>
        <w:jc w:val="both"/>
      </w:pPr>
      <w:r>
        <w:rPr>
          <w:rStyle w:val="CharStyle14"/>
        </w:rPr>
        <w:t xml:space="preserve">заявка </w:t>
      </w:r>
      <w:r>
        <w:rPr>
          <w:rStyle w:val="CharStyle14"/>
          <w:lang w:val="en-US" w:eastAsia="en-US"/>
        </w:rPr>
        <w:t xml:space="preserve">№4 </w:t>
      </w:r>
      <w:r>
        <w:rPr>
          <w:rStyle w:val="CharStyle14"/>
        </w:rPr>
        <w:t xml:space="preserve">(Победитель) (идентификационный номер участника </w:t>
      </w:r>
      <w:r>
        <w:rPr>
          <w:rStyle w:val="CharStyle14"/>
          <w:lang w:val="en-US" w:eastAsia="en-US"/>
        </w:rPr>
        <w:t xml:space="preserve">121043059) </w:t>
      </w:r>
      <w:r>
        <w:rPr>
          <w:rStyle w:val="CharStyle14"/>
        </w:rPr>
        <w:t xml:space="preserve">содержит предложение о поставке товара по позиции </w:t>
      </w:r>
      <w:r>
        <w:rPr>
          <w:rStyle w:val="CharStyle14"/>
          <w:lang w:val="en-US" w:eastAsia="en-US"/>
        </w:rPr>
        <w:t xml:space="preserve">№1 </w:t>
      </w:r>
      <w:r>
        <w:rPr>
          <w:rStyle w:val="CharStyle14"/>
        </w:rPr>
        <w:t xml:space="preserve">«Рельсовая система раздвижных аудиторных досок магнитных маркерно-меловых», с кодом ОКПД2 </w:t>
      </w:r>
      <w:r>
        <w:rPr>
          <w:rStyle w:val="CharStyle14"/>
          <w:lang w:val="en-US" w:eastAsia="en-US"/>
        </w:rPr>
        <w:t xml:space="preserve">32.99.16.110 </w:t>
      </w:r>
      <w:r>
        <w:rPr>
          <w:rStyle w:val="CharStyle14"/>
        </w:rPr>
        <w:t xml:space="preserve">с указанием номера из реестра промышленной продукции </w:t>
      </w:r>
      <w:r>
        <w:rPr>
          <w:rStyle w:val="CharStyle14"/>
          <w:lang w:val="en-US" w:eastAsia="en-US"/>
        </w:rPr>
        <w:t xml:space="preserve">10421704, </w:t>
      </w:r>
      <w:r>
        <w:rPr>
          <w:rStyle w:val="CharStyle14"/>
        </w:rPr>
        <w:t xml:space="preserve">без информации о совокупном количестве баллов за выполнение (освоение) на территории Российской Федерации таких операций (условий); по позиции </w:t>
      </w:r>
      <w:r>
        <w:rPr>
          <w:rStyle w:val="CharStyle14"/>
          <w:lang w:val="en-US" w:eastAsia="en-US"/>
        </w:rPr>
        <w:t xml:space="preserve">№2 </w:t>
      </w:r>
      <w:r>
        <w:rPr>
          <w:rStyle w:val="CharStyle14"/>
        </w:rPr>
        <w:t xml:space="preserve">«Интерактивная панель (комплекс) </w:t>
      </w:r>
      <w:r>
        <w:rPr>
          <w:rStyle w:val="CharStyle14"/>
          <w:lang w:val="en-US" w:eastAsia="en-US"/>
        </w:rPr>
        <w:t xml:space="preserve">Lumien 75 LMS7505MLRU </w:t>
      </w:r>
      <w:r>
        <w:rPr>
          <w:rStyle w:val="CharStyle14"/>
        </w:rPr>
        <w:t xml:space="preserve">(ТЦНР.0417509.00.00.000-02)» с кодом ОКПД2 </w:t>
      </w:r>
      <w:r>
        <w:rPr>
          <w:rStyle w:val="CharStyle14"/>
          <w:lang w:val="en-US" w:eastAsia="en-US"/>
        </w:rPr>
        <w:t xml:space="preserve">26.20.13.000 </w:t>
      </w:r>
      <w:r>
        <w:rPr>
          <w:rStyle w:val="CharStyle14"/>
        </w:rPr>
        <w:t xml:space="preserve">с указанием номера из реестра промышленной продукции </w:t>
      </w:r>
      <w:r>
        <w:rPr>
          <w:rStyle w:val="CharStyle14"/>
          <w:lang w:val="en-US" w:eastAsia="en-US"/>
        </w:rPr>
        <w:t xml:space="preserve">10647841,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163,0;</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40"/>
        <w:jc w:val="both"/>
      </w:pPr>
      <w:r>
        <w:rPr>
          <w:rStyle w:val="CharStyle14"/>
        </w:rPr>
        <w:t xml:space="preserve">заявка </w:t>
      </w:r>
      <w:r>
        <w:rPr>
          <w:rStyle w:val="CharStyle14"/>
          <w:lang w:val="en-US" w:eastAsia="en-US"/>
        </w:rPr>
        <w:t xml:space="preserve">№5 </w:t>
      </w:r>
      <w:r>
        <w:rPr>
          <w:rStyle w:val="CharStyle14"/>
        </w:rPr>
        <w:t xml:space="preserve">(идентификационный номер участника </w:t>
      </w:r>
      <w:r>
        <w:rPr>
          <w:rStyle w:val="CharStyle14"/>
          <w:lang w:val="en-US" w:eastAsia="en-US"/>
        </w:rPr>
        <w:t xml:space="preserve">121044939) </w:t>
      </w:r>
      <w:r>
        <w:rPr>
          <w:rStyle w:val="CharStyle14"/>
        </w:rPr>
        <w:t xml:space="preserve">содержит предложение о поставке товара по позиции </w:t>
      </w:r>
      <w:r>
        <w:rPr>
          <w:rStyle w:val="CharStyle14"/>
          <w:lang w:val="en-US" w:eastAsia="en-US"/>
        </w:rPr>
        <w:t xml:space="preserve">№1 </w:t>
      </w:r>
      <w:r>
        <w:rPr>
          <w:rStyle w:val="CharStyle14"/>
        </w:rPr>
        <w:t xml:space="preserve">«Рельсовая система раздвижных аудиторных досок магнитных меловых «Базовый»», с кодом ОКПД2 </w:t>
      </w:r>
      <w:r>
        <w:rPr>
          <w:rStyle w:val="CharStyle14"/>
          <w:lang w:val="en-US" w:eastAsia="en-US"/>
        </w:rPr>
        <w:t xml:space="preserve">32.99.53.130 </w:t>
      </w:r>
      <w:r>
        <w:rPr>
          <w:rStyle w:val="CharStyle14"/>
        </w:rPr>
        <w:t xml:space="preserve">с указанием номера из реестра промышленной продукции </w:t>
      </w:r>
      <w:r>
        <w:rPr>
          <w:rStyle w:val="CharStyle14"/>
          <w:lang w:val="en-US" w:eastAsia="en-US"/>
        </w:rPr>
        <w:t xml:space="preserve">10551746, </w:t>
      </w:r>
      <w:r>
        <w:rPr>
          <w:rStyle w:val="CharStyle14"/>
        </w:rPr>
        <w:t xml:space="preserve">без информации о совокупном количестве баллов за выполнение (освоение) на территории Российской Федерации таких операций (условий); по позиции </w:t>
      </w:r>
      <w:r>
        <w:rPr>
          <w:rStyle w:val="CharStyle14"/>
          <w:lang w:val="en-US" w:eastAsia="en-US"/>
        </w:rPr>
        <w:t xml:space="preserve">№2 </w:t>
      </w:r>
      <w:r>
        <w:rPr>
          <w:rStyle w:val="CharStyle14"/>
        </w:rPr>
        <w:t xml:space="preserve">«Интерактивная панель </w:t>
      </w:r>
      <w:r>
        <w:rPr>
          <w:rStyle w:val="CharStyle14"/>
          <w:lang w:val="en-US" w:eastAsia="en-US"/>
        </w:rPr>
        <w:t xml:space="preserve">TeachTouch R2\75 (28505121.202239.001-04)» </w:t>
      </w:r>
      <w:r>
        <w:rPr>
          <w:rStyle w:val="CharStyle14"/>
        </w:rPr>
        <w:t xml:space="preserve">с кодом ОКПД2 </w:t>
      </w:r>
      <w:r>
        <w:rPr>
          <w:rStyle w:val="CharStyle14"/>
          <w:lang w:val="en-US" w:eastAsia="en-US"/>
        </w:rPr>
        <w:t xml:space="preserve">26.20.13.000 </w:t>
      </w:r>
      <w:r>
        <w:rPr>
          <w:rStyle w:val="CharStyle14"/>
        </w:rPr>
        <w:t xml:space="preserve">с указанием номера из реестра промышленной продукции </w:t>
      </w:r>
      <w:r>
        <w:rPr>
          <w:rStyle w:val="CharStyle14"/>
          <w:lang w:val="en-US" w:eastAsia="en-US"/>
        </w:rPr>
        <w:t xml:space="preserve">10616169,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142,0;</w:t>
      </w:r>
    </w:p>
    <w:p>
      <w:pPr>
        <w:pStyle w:val="Style13"/>
        <w:keepNext w:val="0"/>
        <w:keepLines w:val="0"/>
        <w:widowControl w:val="0"/>
        <w:numPr>
          <w:ilvl w:val="0"/>
          <w:numId w:val="13"/>
        </w:numPr>
        <w:shd w:val="clear" w:color="auto" w:fill="auto"/>
        <w:tabs>
          <w:tab w:pos="1085" w:val="left"/>
        </w:tabs>
        <w:bidi w:val="0"/>
        <w:spacing w:before="0" w:after="0" w:line="240" w:lineRule="auto"/>
        <w:ind w:left="0" w:right="0" w:firstLine="740"/>
        <w:jc w:val="both"/>
      </w:pPr>
      <w:r>
        <w:rPr>
          <w:rStyle w:val="CharStyle14"/>
        </w:rPr>
        <w:t xml:space="preserve">заявка </w:t>
      </w:r>
      <w:r>
        <w:rPr>
          <w:rStyle w:val="CharStyle14"/>
          <w:lang w:val="en-US" w:eastAsia="en-US"/>
        </w:rPr>
        <w:t xml:space="preserve">№6 </w:t>
      </w:r>
      <w:r>
        <w:rPr>
          <w:rStyle w:val="CharStyle14"/>
        </w:rPr>
        <w:t xml:space="preserve">(идентификационный номер участника </w:t>
      </w:r>
      <w:r>
        <w:rPr>
          <w:rStyle w:val="CharStyle14"/>
          <w:lang w:val="en-US" w:eastAsia="en-US"/>
        </w:rPr>
        <w:t xml:space="preserve">121045713) </w:t>
      </w:r>
      <w:r>
        <w:rPr>
          <w:rStyle w:val="CharStyle14"/>
        </w:rPr>
        <w:t xml:space="preserve">содержит предложение о поставке товара по позиции </w:t>
      </w:r>
      <w:r>
        <w:rPr>
          <w:rStyle w:val="CharStyle14"/>
          <w:lang w:val="en-US" w:eastAsia="en-US"/>
        </w:rPr>
        <w:t xml:space="preserve">№1 </w:t>
      </w:r>
      <w:r>
        <w:rPr>
          <w:rStyle w:val="CharStyle14"/>
        </w:rPr>
        <w:t xml:space="preserve">«Рельсовая система торговой марки </w:t>
      </w:r>
      <w:r>
        <w:rPr>
          <w:rStyle w:val="CharStyle14"/>
          <w:lang w:val="en-US" w:eastAsia="en-US"/>
        </w:rPr>
        <w:t xml:space="preserve">LUMIEN </w:t>
      </w:r>
      <w:r>
        <w:rPr>
          <w:rStyle w:val="CharStyle14"/>
        </w:rPr>
        <w:t xml:space="preserve">с классной доской», с кодом ОКПД2 </w:t>
      </w:r>
      <w:r>
        <w:rPr>
          <w:rStyle w:val="CharStyle14"/>
          <w:lang w:val="en-US" w:eastAsia="en-US"/>
        </w:rPr>
        <w:t xml:space="preserve">32.99.53.130 </w:t>
      </w:r>
      <w:r>
        <w:rPr>
          <w:rStyle w:val="CharStyle14"/>
        </w:rPr>
        <w:t xml:space="preserve">с указанием номера из реестра промышленной продукции </w:t>
      </w:r>
      <w:r>
        <w:rPr>
          <w:rStyle w:val="CharStyle14"/>
          <w:lang w:val="en-US" w:eastAsia="en-US"/>
        </w:rPr>
        <w:t xml:space="preserve">10603914,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 xml:space="preserve">10,0; </w:t>
      </w:r>
      <w:r>
        <w:rPr>
          <w:rStyle w:val="CharStyle14"/>
        </w:rPr>
        <w:t xml:space="preserve">по позиции </w:t>
      </w:r>
      <w:r>
        <w:rPr>
          <w:rStyle w:val="CharStyle14"/>
          <w:lang w:val="en-US" w:eastAsia="en-US"/>
        </w:rPr>
        <w:t xml:space="preserve">№2 </w:t>
      </w:r>
      <w:r>
        <w:rPr>
          <w:rStyle w:val="CharStyle14"/>
        </w:rPr>
        <w:t xml:space="preserve">«Интерактивная панель </w:t>
      </w:r>
      <w:r>
        <w:rPr>
          <w:rStyle w:val="CharStyle14"/>
          <w:lang w:val="en-US" w:eastAsia="en-US"/>
        </w:rPr>
        <w:t xml:space="preserve">Union-75 </w:t>
      </w:r>
      <w:r>
        <w:rPr>
          <w:rStyle w:val="CharStyle14"/>
        </w:rPr>
        <w:t xml:space="preserve">СТЛЦ.466219.001-03» с кодом ОКПД2 </w:t>
      </w:r>
      <w:r>
        <w:rPr>
          <w:rStyle w:val="CharStyle14"/>
          <w:lang w:val="en-US" w:eastAsia="en-US"/>
        </w:rPr>
        <w:t xml:space="preserve">26.20.13.000 </w:t>
      </w:r>
      <w:r>
        <w:rPr>
          <w:rStyle w:val="CharStyle14"/>
        </w:rPr>
        <w:t xml:space="preserve">с указанием номера из реестра промышленной продукции </w:t>
      </w:r>
      <w:r>
        <w:rPr>
          <w:rStyle w:val="CharStyle14"/>
          <w:lang w:val="en-US" w:eastAsia="en-US"/>
        </w:rPr>
        <w:t xml:space="preserve">10607295, </w:t>
      </w:r>
      <w:r>
        <w:rPr>
          <w:rStyle w:val="CharStyle14"/>
        </w:rPr>
        <w:t xml:space="preserve">с указанием информации о совокупном количестве баллов за выполнение (освоение) на территории Российской Федерации таких операций (условий): </w:t>
      </w:r>
      <w:r>
        <w:rPr>
          <w:rStyle w:val="CharStyle14"/>
          <w:lang w:val="en-US" w:eastAsia="en-US"/>
        </w:rPr>
        <w:t>172,0.</w:t>
      </w:r>
    </w:p>
    <w:p>
      <w:pPr>
        <w:pStyle w:val="Style13"/>
        <w:keepNext w:val="0"/>
        <w:keepLines w:val="0"/>
        <w:widowControl w:val="0"/>
        <w:shd w:val="clear" w:color="auto" w:fill="auto"/>
        <w:bidi w:val="0"/>
        <w:spacing w:before="0" w:after="0" w:line="240" w:lineRule="auto"/>
        <w:ind w:left="0" w:right="0" w:firstLine="740"/>
        <w:jc w:val="both"/>
        <w:rPr>
          <w:sz w:val="24"/>
          <w:szCs w:val="24"/>
        </w:rPr>
        <w:sectPr>
          <w:headerReference w:type="default" r:id="rId16"/>
          <w:footerReference w:type="default" r:id="rId17"/>
          <w:footnotePr>
            <w:pos w:val="pageBottom"/>
            <w:numFmt w:val="decimal"/>
            <w:numRestart w:val="continuous"/>
          </w:footnotePr>
          <w:pgSz w:w="11900" w:h="16840"/>
          <w:pgMar w:top="1695" w:right="535" w:bottom="836" w:left="1098" w:header="0" w:footer="408" w:gutter="0"/>
          <w:cols w:space="720"/>
          <w:noEndnote/>
          <w:rtlGutter w:val="0"/>
          <w:docGrid w:linePitch="360"/>
        </w:sectPr>
      </w:pPr>
      <w:r>
        <w:rPr>
          <w:rStyle w:val="CharStyle14"/>
        </w:rPr>
        <w:t xml:space="preserve">Комиссия Томского УФАС России отмечает, что сведения о совокупном количестве баллов подлежат указанию тогда и постольку, когда для конкретного товара нормативно установлено требование по баллам, то есть данные баллы выступают не «дополнительной опцией», а элементом надлежащего подтверждения российского происхождения именно для целей закупки, если извещением (и приложением к нему) предусмотрено, что подтверждением страны происхождения товара служит реестровая запись, содержащая, в том числе, сведения о баллах (при наличии соответствующего требования по постановлению </w:t>
      </w:r>
      <w:r>
        <w:rPr>
          <w:rStyle w:val="CharStyle14"/>
          <w:lang w:val="en-US" w:eastAsia="en-US"/>
        </w:rPr>
        <w:t xml:space="preserve">№ 719), </w:t>
      </w:r>
      <w:r>
        <w:rPr>
          <w:rStyle w:val="CharStyle14"/>
        </w:rPr>
        <w:t xml:space="preserve">то непредставление участником закупки таких информации и документов влечет правовые последствия, заранее обозначенные Заказчиком в извещении: заявка </w:t>
      </w:r>
      <w:r>
        <w:rPr>
          <w:rStyle w:val="CharStyle14"/>
          <w:sz w:val="24"/>
          <w:szCs w:val="24"/>
          <w:lang w:val="en-US" w:eastAsia="en-US"/>
        </w:rPr>
        <w:t>2026-2912</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подлежит квалификации как содержащая предложение о поставке товара иностранного происхождения, поскольку участник не подтвердил национальный статус товара в требуемом формате. Иными словами, «презумпция российской» в закупках с национальным режимом Законом о контрактной системе не предусмотрена: подтверждение страны происхождения является обязанностью участника, а ее исполнение проверяется комиссией при рассмотрении заявки, поскольку только так обеспечиваются цели и смысл статьи </w:t>
      </w:r>
      <w:r>
        <w:rPr>
          <w:rStyle w:val="CharStyle14"/>
          <w:lang w:val="en-US" w:eastAsia="en-US"/>
        </w:rPr>
        <w:t xml:space="preserve">14 </w:t>
      </w:r>
      <w:r>
        <w:rPr>
          <w:rStyle w:val="CharStyle14"/>
        </w:rPr>
        <w:t xml:space="preserve">Закона о контрактной системе </w:t>
      </w:r>
      <w:r>
        <w:rPr>
          <w:rStyle w:val="CharStyle14"/>
          <w:lang w:val="en-US" w:eastAsia="en-US"/>
        </w:rPr>
        <w:t xml:space="preserve">- </w:t>
      </w:r>
      <w:r>
        <w:rPr>
          <w:rStyle w:val="CharStyle14"/>
        </w:rPr>
        <w:t>предоставление национального режима в установленной Правительством Российской Федерации модели.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Исходя из вышеизложенного, участниками закупки с идентификационными номерами заявок </w:t>
      </w:r>
      <w:r>
        <w:rPr>
          <w:rStyle w:val="CharStyle14"/>
          <w:lang w:val="en-US" w:eastAsia="en-US"/>
        </w:rPr>
        <w:t xml:space="preserve">121025003, 121043059 </w:t>
      </w:r>
      <w:r>
        <w:rPr>
          <w:rStyle w:val="CharStyle14"/>
        </w:rPr>
        <w:t xml:space="preserve">и </w:t>
      </w:r>
      <w:r>
        <w:rPr>
          <w:rStyle w:val="CharStyle14"/>
          <w:lang w:val="en-US" w:eastAsia="en-US"/>
        </w:rPr>
        <w:t xml:space="preserve">121044939 </w:t>
      </w:r>
      <w:r>
        <w:rPr>
          <w:rStyle w:val="CharStyle14"/>
        </w:rPr>
        <w:t xml:space="preserve">не исполнены требования подпункта «а» пункта </w:t>
      </w:r>
      <w:r>
        <w:rPr>
          <w:rStyle w:val="CharStyle14"/>
          <w:lang w:val="en-US" w:eastAsia="en-US"/>
        </w:rPr>
        <w:t xml:space="preserve">3 </w:t>
      </w:r>
      <w:r>
        <w:rPr>
          <w:rStyle w:val="CharStyle14"/>
        </w:rPr>
        <w:t xml:space="preserve">Постановления </w:t>
      </w:r>
      <w:r>
        <w:rPr>
          <w:rStyle w:val="CharStyle14"/>
          <w:lang w:val="en-US" w:eastAsia="en-US"/>
        </w:rPr>
        <w:t xml:space="preserve">№1875, </w:t>
      </w:r>
      <w:r>
        <w:rPr>
          <w:rStyle w:val="CharStyle14"/>
        </w:rPr>
        <w:t>и в силу прямого указания Закона о контрактной системе, данные заявки должны были быть приравнены к заявкам, содержащим предложения о поставке товара, происходящего из иностранного государства.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При таких обстоятельствах Комиссия Томского УФАС России приходит к выводу, что признание аукционной комиссией Заказчика всех заявок соответствующими извещению без надлежащей оценки соблюдения участниками условий национального режима, сформулированных Заказчиком в составе требований к заявке (включая проверку наличия и содержания предусмотренных извещением подтверждающих сведений и документов по Постановлению </w:t>
      </w:r>
      <w:r>
        <w:rPr>
          <w:rStyle w:val="CharStyle14"/>
          <w:lang w:val="en-US" w:eastAsia="en-US"/>
        </w:rPr>
        <w:t xml:space="preserve">№1875), </w:t>
      </w:r>
      <w:r>
        <w:rPr>
          <w:rStyle w:val="CharStyle14"/>
        </w:rPr>
        <w:t>не отвечает требованиям Закона о контрактной системе, поскольку аукционная комиссия Заказчика обязана рассматривать заявки именно в разрезе всех установленных в извещении условий, включая национальный режим как обязательный элемент правового механизма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Довод Заявителя о нарушении порядка отбора заявок на участие в аукционе Комиссия УФАС оценивает, как обоснованный и находит его подтвержденным материалами дела в той мере, в какой аукционная комиссия Заказчика обязана была рассмотреть заявки с учетом прямо установленных извещением требований к подтверждению происхождения товара и дать им надлежащую правовую квалификацию.</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 учетом изложенного, на основе всестороннего исследования, оценки фактических обстоятельств и доказательств по делу в их совокупности и взаимосвязи, Комиссия Томского УФАС России приходит к выводу, что в действиях аукционной комиссии Заказчика установлены нарушения статьи </w:t>
      </w:r>
      <w:r>
        <w:rPr>
          <w:rStyle w:val="CharStyle14"/>
          <w:lang w:val="en-US" w:eastAsia="en-US"/>
        </w:rPr>
        <w:t xml:space="preserve">14,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49 </w:t>
      </w:r>
      <w:r>
        <w:rPr>
          <w:rStyle w:val="CharStyle14"/>
        </w:rPr>
        <w:t xml:space="preserve">Закона о контрактной системе, что образует состав административного правонарушения, предусмотренного частью </w:t>
      </w:r>
      <w:r>
        <w:rPr>
          <w:rStyle w:val="CharStyle14"/>
          <w:lang w:val="en-US" w:eastAsia="en-US"/>
        </w:rPr>
        <w:t xml:space="preserve">7 </w:t>
      </w:r>
      <w:r>
        <w:rPr>
          <w:rStyle w:val="CharStyle14"/>
        </w:rPr>
        <w:t xml:space="preserve">статьи </w:t>
      </w:r>
      <w:r>
        <w:rPr>
          <w:rStyle w:val="CharStyle14"/>
          <w:lang w:val="en-US" w:eastAsia="en-US"/>
        </w:rPr>
        <w:t xml:space="preserve">7.30.1 </w:t>
      </w:r>
      <w:r>
        <w:rPr>
          <w:rStyle w:val="CharStyle14"/>
        </w:rPr>
        <w:t>КоАП РФ.</w:t>
      </w:r>
    </w:p>
    <w:p>
      <w:pPr>
        <w:pStyle w:val="Style13"/>
        <w:keepNext w:val="0"/>
        <w:keepLines w:val="0"/>
        <w:widowControl w:val="0"/>
        <w:shd w:val="clear" w:color="auto" w:fill="auto"/>
        <w:bidi w:val="0"/>
        <w:spacing w:before="0" w:after="0" w:line="240" w:lineRule="auto"/>
        <w:ind w:left="0" w:right="0" w:firstLine="740"/>
        <w:jc w:val="both"/>
      </w:pPr>
      <w:r>
        <w:rPr>
          <w:rStyle w:val="CharStyle14"/>
        </w:rPr>
        <w:t>В связи с выявленными в действиях аукционной комиссии Заказчика нарушениями требований действующего законодательства о закупках, Комиссия Томского УФАС принимает решение о выдаче предписания об устранении нарушений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Принимая во внимание вышеизложенное, и руководствуясь статьей </w:t>
      </w:r>
      <w:r>
        <w:rPr>
          <w:rStyle w:val="CharStyle14"/>
          <w:lang w:val="en-US" w:eastAsia="en-US"/>
        </w:rPr>
        <w:t xml:space="preserve">14, </w:t>
      </w:r>
      <w:r>
        <w:rPr>
          <w:rStyle w:val="CharStyle14"/>
        </w:rPr>
        <w:t xml:space="preserve">статьей </w:t>
      </w:r>
      <w:r>
        <w:rPr>
          <w:rStyle w:val="CharStyle14"/>
          <w:lang w:val="en-US" w:eastAsia="en-US"/>
        </w:rPr>
        <w:t xml:space="preserve">49, </w:t>
      </w:r>
      <w:r>
        <w:rPr>
          <w:rStyle w:val="CharStyle14"/>
        </w:rPr>
        <w:t xml:space="preserve">статей </w:t>
      </w:r>
      <w:r>
        <w:rPr>
          <w:rStyle w:val="CharStyle14"/>
          <w:lang w:val="en-US" w:eastAsia="en-US"/>
        </w:rPr>
        <w:t xml:space="preserve">99, </w:t>
      </w:r>
      <w:r>
        <w:rPr>
          <w:rStyle w:val="CharStyle14"/>
        </w:rPr>
        <w:t xml:space="preserve">статьей </w:t>
      </w:r>
      <w:r>
        <w:rPr>
          <w:rStyle w:val="CharStyle14"/>
          <w:lang w:val="en-US" w:eastAsia="en-US"/>
        </w:rPr>
        <w:t xml:space="preserve">105, </w:t>
      </w:r>
      <w:r>
        <w:rPr>
          <w:rStyle w:val="CharStyle14"/>
        </w:rPr>
        <w:t xml:space="preserve">статьей </w:t>
      </w:r>
      <w:r>
        <w:rPr>
          <w:rStyle w:val="CharStyle14"/>
          <w:lang w:val="en-US" w:eastAsia="en-US"/>
        </w:rPr>
        <w:t xml:space="preserve">106 </w:t>
      </w:r>
      <w:r>
        <w:rPr>
          <w:rStyle w:val="CharStyle14"/>
        </w:rPr>
        <w:t>Закона 44-ФЗ, Комиссия Томского УФАС</w:t>
      </w:r>
    </w:p>
    <w:p>
      <w:pPr>
        <w:pStyle w:val="Style13"/>
        <w:keepNext w:val="0"/>
        <w:keepLines w:val="0"/>
        <w:widowControl w:val="0"/>
        <w:shd w:val="clear" w:color="auto" w:fill="auto"/>
        <w:bidi w:val="0"/>
        <w:spacing w:before="0" w:after="0" w:line="240" w:lineRule="auto"/>
        <w:ind w:left="0" w:right="0" w:firstLine="0"/>
        <w:jc w:val="left"/>
      </w:pPr>
      <w:r>
        <w:rPr>
          <w:rStyle w:val="CharStyle14"/>
        </w:rPr>
        <w:t>России,</w:t>
      </w:r>
    </w:p>
    <w:p>
      <w:pPr>
        <w:pStyle w:val="Style13"/>
        <w:keepNext w:val="0"/>
        <w:keepLines w:val="0"/>
        <w:widowControl w:val="0"/>
        <w:shd w:val="clear" w:color="auto" w:fill="auto"/>
        <w:bidi w:val="0"/>
        <w:spacing w:before="0" w:after="320" w:line="240" w:lineRule="auto"/>
        <w:ind w:left="4840" w:right="0" w:firstLine="0"/>
        <w:jc w:val="left"/>
      </w:pPr>
      <w:r>
        <w:rPr>
          <w:rStyle w:val="CharStyle14"/>
        </w:rPr>
        <w:t>РЕШИЛА:</w:t>
      </w:r>
    </w:p>
    <w:p>
      <w:pPr>
        <w:pStyle w:val="Style13"/>
        <w:keepNext w:val="0"/>
        <w:keepLines w:val="0"/>
        <w:widowControl w:val="0"/>
        <w:numPr>
          <w:ilvl w:val="0"/>
          <w:numId w:val="15"/>
        </w:numPr>
        <w:shd w:val="clear" w:color="auto" w:fill="auto"/>
        <w:tabs>
          <w:tab w:pos="1098" w:val="left"/>
        </w:tabs>
        <w:bidi w:val="0"/>
        <w:spacing w:before="0" w:after="0" w:line="240" w:lineRule="auto"/>
        <w:ind w:left="0" w:right="0" w:firstLine="720"/>
        <w:jc w:val="both"/>
      </w:pPr>
      <w:r>
        <w:rPr>
          <w:rStyle w:val="CharStyle14"/>
        </w:rPr>
        <w:t xml:space="preserve">Признать жалобу ООО «Рельсовые системы из русской стали» (вх.№3246/26 от </w:t>
      </w:r>
      <w:r>
        <w:rPr>
          <w:rStyle w:val="CharStyle14"/>
          <w:lang w:val="en-US" w:eastAsia="en-US"/>
        </w:rPr>
        <w:t xml:space="preserve">23.04.2026) </w:t>
      </w:r>
      <w:r>
        <w:rPr>
          <w:rStyle w:val="CharStyle14"/>
        </w:rPr>
        <w:t xml:space="preserve">на действия аукционной комиссии Заказчика </w:t>
      </w:r>
      <w:r>
        <w:rPr>
          <w:rStyle w:val="CharStyle14"/>
          <w:lang w:val="en-US" w:eastAsia="en-US"/>
        </w:rPr>
        <w:t xml:space="preserve">- </w:t>
      </w:r>
      <w:r>
        <w:rPr>
          <w:rStyle w:val="CharStyle14"/>
        </w:rPr>
        <w:t xml:space="preserve">МКОУ «Тегульдетская СОШ» при проведении электронного аукциона «Реализация мероприятий по модернизации школьных систем образования в рамках национального проекта «Молодежь и дети» федерального проекта «Все лучшее детям» (оснащение отремонтированных зданий и помещений современными средствами обучения и воспитания) для МКОУ «Тегульдетская СОШ»» (извещение </w:t>
      </w:r>
      <w:r>
        <w:rPr>
          <w:rStyle w:val="CharStyle14"/>
          <w:lang w:val="en-US" w:eastAsia="en-US"/>
        </w:rPr>
        <w:t xml:space="preserve">№0365300045626000018) </w:t>
      </w:r>
      <w:r>
        <w:rPr>
          <w:rStyle w:val="CharStyle14"/>
        </w:rPr>
        <w:t>обоснованной.</w:t>
      </w:r>
    </w:p>
    <w:p>
      <w:pPr>
        <w:pStyle w:val="Style13"/>
        <w:keepNext w:val="0"/>
        <w:keepLines w:val="0"/>
        <w:widowControl w:val="0"/>
        <w:numPr>
          <w:ilvl w:val="0"/>
          <w:numId w:val="15"/>
        </w:numPr>
        <w:shd w:val="clear" w:color="auto" w:fill="auto"/>
        <w:tabs>
          <w:tab w:pos="1098" w:val="left"/>
        </w:tabs>
        <w:bidi w:val="0"/>
        <w:spacing w:before="0" w:after="0" w:line="240" w:lineRule="auto"/>
        <w:ind w:left="0" w:right="0" w:firstLine="720"/>
        <w:jc w:val="both"/>
      </w:pPr>
      <w:r>
        <w:rPr>
          <w:rStyle w:val="CharStyle14"/>
        </w:rPr>
        <w:t xml:space="preserve">В действиях МКОУ «Тегульдетская СОШ» выявлены нарушения статьи </w:t>
      </w:r>
      <w:r>
        <w:rPr>
          <w:rStyle w:val="CharStyle14"/>
          <w:lang w:val="en-US" w:eastAsia="en-US"/>
        </w:rPr>
        <w:t xml:space="preserve">14,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49 </w:t>
      </w:r>
      <w:r>
        <w:rPr>
          <w:rStyle w:val="CharStyle14"/>
        </w:rPr>
        <w:t>Закона о контрактной системе.</w:t>
      </w:r>
    </w:p>
    <w:p>
      <w:pPr>
        <w:pStyle w:val="Style13"/>
        <w:keepNext w:val="0"/>
        <w:keepLines w:val="0"/>
        <w:widowControl w:val="0"/>
        <w:numPr>
          <w:ilvl w:val="0"/>
          <w:numId w:val="15"/>
        </w:numPr>
        <w:shd w:val="clear" w:color="auto" w:fill="auto"/>
        <w:tabs>
          <w:tab w:pos="1098" w:val="left"/>
        </w:tabs>
        <w:bidi w:val="0"/>
        <w:spacing w:before="0" w:after="0" w:line="240" w:lineRule="auto"/>
        <w:ind w:left="0" w:right="0" w:firstLine="720"/>
        <w:jc w:val="both"/>
      </w:pPr>
      <w:r>
        <w:rPr>
          <w:rStyle w:val="CharStyle14"/>
        </w:rPr>
        <w:t>Выдать обязательное для исполнения предписание об устранении допущенных нарушений.</w:t>
      </w:r>
    </w:p>
    <w:p>
      <w:pPr>
        <w:pStyle w:val="Style13"/>
        <w:keepNext w:val="0"/>
        <w:keepLines w:val="0"/>
        <w:widowControl w:val="0"/>
        <w:numPr>
          <w:ilvl w:val="0"/>
          <w:numId w:val="15"/>
        </w:numPr>
        <w:shd w:val="clear" w:color="auto" w:fill="auto"/>
        <w:tabs>
          <w:tab w:pos="1098" w:val="left"/>
        </w:tabs>
        <w:bidi w:val="0"/>
        <w:spacing w:before="0" w:after="320" w:line="240" w:lineRule="auto"/>
        <w:ind w:left="0" w:right="0" w:firstLine="720"/>
        <w:jc w:val="both"/>
      </w:pPr>
      <w:r>
        <w:rPr>
          <w:rStyle w:val="CharStyle14"/>
        </w:rPr>
        <w:t>Передать материалы ответственному должностному лицу Томского УФАС России для рассмотрения вопроса о привлечении виновных должностных лиц к административной ответственности.</w:t>
      </w:r>
    </w:p>
    <w:p>
      <w:pPr>
        <w:pStyle w:val="Style13"/>
        <w:keepNext w:val="0"/>
        <w:keepLines w:val="0"/>
        <w:widowControl w:val="0"/>
        <w:shd w:val="clear" w:color="auto" w:fill="auto"/>
        <w:bidi w:val="0"/>
        <w:spacing w:before="0" w:after="360" w:line="240" w:lineRule="auto"/>
        <w:ind w:left="0" w:right="0" w:firstLine="720"/>
        <w:jc w:val="both"/>
      </w:pPr>
      <w:r>
        <w:rPr>
          <w:rStyle w:val="CharStyle14"/>
        </w:rPr>
        <w:t>Настоящее решение может быть обжаловано в судебном порядке в течение трех месяцев в установленном законом порядке.</w:t>
      </w:r>
    </w:p>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p>
      <w:pPr>
        <w:pStyle w:val="Style13"/>
        <w:keepNext w:val="0"/>
        <w:keepLines w:val="0"/>
        <w:widowControl w:val="0"/>
        <w:shd w:val="clear" w:color="auto" w:fill="auto"/>
        <w:bidi w:val="0"/>
        <w:spacing w:before="0" w:after="1080" w:line="240" w:lineRule="auto"/>
        <w:ind w:left="9320" w:right="0" w:firstLine="0"/>
        <w:jc w:val="both"/>
      </w:pPr>
      <w:r>
        <w:rPr>
          <w:rStyle w:val="CharStyle14"/>
        </w:rPr>
        <w:t>И.М.С</w:t>
      </w:r>
    </w:p>
    <w:p>
      <w:pPr>
        <w:pStyle w:val="Style13"/>
        <w:keepNext w:val="0"/>
        <w:keepLines w:val="0"/>
        <w:widowControl w:val="0"/>
        <w:shd w:val="clear" w:color="auto" w:fill="auto"/>
        <w:bidi w:val="0"/>
        <w:spacing w:before="0" w:after="10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1380" w:line="240" w:lineRule="auto"/>
        <w:ind w:left="0" w:right="0" w:firstLine="0"/>
        <w:jc w:val="right"/>
      </w:pPr>
      <w:r>
        <w:rPr>
          <w:rStyle w:val="CharStyle14"/>
        </w:rPr>
        <w:t>Д.А. М</w:t>
      </w:r>
    </w:p>
    <w:p>
      <w:pPr>
        <w:pStyle w:val="Style13"/>
        <w:keepNext w:val="0"/>
        <w:keepLines w:val="0"/>
        <w:widowControl w:val="0"/>
        <w:shd w:val="clear" w:color="auto" w:fill="auto"/>
        <w:bidi w:val="0"/>
        <w:spacing w:before="0" w:after="340" w:line="240" w:lineRule="auto"/>
        <w:ind w:left="9320" w:right="0" w:firstLine="0"/>
        <w:jc w:val="both"/>
      </w:pPr>
      <w:r>
        <w:rPr>
          <w:rStyle w:val="CharStyle14"/>
        </w:rPr>
        <w:t>К.С. П</w:t>
      </w:r>
    </w:p>
    <w:sectPr>
      <w:headerReference w:type="default" r:id="rId18"/>
      <w:footerReference w:type="default" r:id="rId19"/>
      <w:footnotePr>
        <w:pos w:val="pageBottom"/>
        <w:numFmt w:val="decimal"/>
        <w:numRestart w:val="continuous"/>
      </w:footnotePr>
      <w:pgSz w:w="11900" w:h="16840"/>
      <w:pgMar w:top="1695" w:right="535" w:bottom="1277"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721360</wp:posOffset>
              </wp:positionH>
              <wp:positionV relativeFrom="page">
                <wp:posOffset>9854565</wp:posOffset>
              </wp:positionV>
              <wp:extent cx="650875" cy="105410"/>
              <wp:wrapNone/>
              <wp:docPr id="3" name="Shape 3"/>
              <a:graphic xmlns:a="http://schemas.openxmlformats.org/drawingml/2006/main">
                <a:graphicData uri="http://schemas.microsoft.com/office/word/2010/wordprocessingShape">
                  <wps:wsp>
                    <wps:cNvSpPr txBox="1"/>
                    <wps:spPr>
                      <a:xfrm>
                        <a:ext cx="650875" cy="1054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2026-2912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775.95000000000005pt;width:51.25pt;height:8.3000000000000007pt;z-index:-188744062;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2026-2912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721360</wp:posOffset>
              </wp:positionH>
              <wp:positionV relativeFrom="page">
                <wp:posOffset>10013315</wp:posOffset>
              </wp:positionV>
              <wp:extent cx="648970" cy="106680"/>
              <wp:wrapNone/>
              <wp:docPr id="11" name="Shape 11"/>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2026-2912</w:t>
                          </w:r>
                        </w:p>
                      </w:txbxContent>
                    </wps:txbx>
                    <wps:bodyPr wrap="none" lIns="0" tIns="0" rIns="0" bIns="0">
                      <a:spAutoFit/>
                    </wps:bodyPr>
                  </wps:wsp>
                </a:graphicData>
              </a:graphic>
            </wp:anchor>
          </w:drawing>
        </mc:Choice>
        <mc:Fallback>
          <w:pict>
            <v:shape id="_x0000_s1037" type="#_x0000_t202" style="position:absolute;margin-left:56.800000000000004pt;margin-top:788.45000000000005pt;width:51.100000000000001pt;height:8.4000000000000004pt;z-index:-188744056;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2026-2912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721360</wp:posOffset>
              </wp:positionH>
              <wp:positionV relativeFrom="page">
                <wp:posOffset>10013315</wp:posOffset>
              </wp:positionV>
              <wp:extent cx="648970" cy="106680"/>
              <wp:wrapNone/>
              <wp:docPr id="17" name="Shape 17"/>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2026-2912</w:t>
                          </w:r>
                        </w:p>
                      </w:txbxContent>
                    </wps:txbx>
                    <wps:bodyPr wrap="none" lIns="0" tIns="0" rIns="0" bIns="0">
                      <a:spAutoFit/>
                    </wps:bodyPr>
                  </wps:wsp>
                </a:graphicData>
              </a:graphic>
            </wp:anchor>
          </w:drawing>
        </mc:Choice>
        <mc:Fallback>
          <w:pict>
            <v:shape id="_x0000_s1043" type="#_x0000_t202" style="position:absolute;margin-left:56.800000000000004pt;margin-top:788.45000000000005pt;width:51.100000000000001pt;height:8.4000000000000004pt;z-index:-18874405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2026-2912</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721360</wp:posOffset>
              </wp:positionH>
              <wp:positionV relativeFrom="page">
                <wp:posOffset>10013315</wp:posOffset>
              </wp:positionV>
              <wp:extent cx="648970" cy="106680"/>
              <wp:wrapNone/>
              <wp:docPr id="23" name="Shape 23"/>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2026-2912</w:t>
                          </w:r>
                        </w:p>
                      </w:txbxContent>
                    </wps:txbx>
                    <wps:bodyPr wrap="none" lIns="0" tIns="0" rIns="0" bIns="0">
                      <a:spAutoFit/>
                    </wps:bodyPr>
                  </wps:wsp>
                </a:graphicData>
              </a:graphic>
            </wp:anchor>
          </w:drawing>
        </mc:Choice>
        <mc:Fallback>
          <w:pict>
            <v:shape id="_x0000_s1049" type="#_x0000_t202" style="position:absolute;margin-left:56.800000000000004pt;margin-top:788.45000000000005pt;width:51.100000000000001pt;height:8.4000000000000004pt;z-index:-188744044;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2026-2912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3900805</wp:posOffset>
              </wp:positionH>
              <wp:positionV relativeFrom="page">
                <wp:posOffset>759460</wp:posOffset>
              </wp:positionV>
              <wp:extent cx="128270" cy="106680"/>
              <wp:wrapNone/>
              <wp:docPr id="7" name="Shape 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7.15000000000003pt;margin-top:59.800000000000004pt;width:10.1pt;height:8.4000000000000004pt;z-index:-18874406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3900805</wp:posOffset>
              </wp:positionH>
              <wp:positionV relativeFrom="page">
                <wp:posOffset>759460</wp:posOffset>
              </wp:positionV>
              <wp:extent cx="128270" cy="103505"/>
              <wp:wrapNone/>
              <wp:docPr id="9" name="Shape 9"/>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7.15000000000003pt;margin-top:59.800000000000004pt;width:10.1pt;height:8.1500000000000004pt;z-index:-188744058;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3900805</wp:posOffset>
              </wp:positionH>
              <wp:positionV relativeFrom="page">
                <wp:posOffset>759460</wp:posOffset>
              </wp:positionV>
              <wp:extent cx="128270" cy="106680"/>
              <wp:wrapNone/>
              <wp:docPr id="13" name="Shape 1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7.15000000000003pt;margin-top:59.800000000000004pt;width:10.1pt;height:8.4000000000000004pt;z-index:-188744054;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3900805</wp:posOffset>
              </wp:positionH>
              <wp:positionV relativeFrom="page">
                <wp:posOffset>759460</wp:posOffset>
              </wp:positionV>
              <wp:extent cx="128270" cy="103505"/>
              <wp:wrapNone/>
              <wp:docPr id="15" name="Shape 1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7.15000000000003pt;margin-top:59.800000000000004pt;width:10.1pt;height:8.1500000000000004pt;z-index:-188744052;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3900805</wp:posOffset>
              </wp:positionH>
              <wp:positionV relativeFrom="page">
                <wp:posOffset>759460</wp:posOffset>
              </wp:positionV>
              <wp:extent cx="128270" cy="106680"/>
              <wp:wrapNone/>
              <wp:docPr id="19" name="Shape 1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7.15000000000003pt;margin-top:59.800000000000004pt;width:10.1pt;height:8.4000000000000004pt;z-index:-188744048;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3900805</wp:posOffset>
              </wp:positionH>
              <wp:positionV relativeFrom="page">
                <wp:posOffset>759460</wp:posOffset>
              </wp:positionV>
              <wp:extent cx="128270" cy="103505"/>
              <wp:wrapNone/>
              <wp:docPr id="21" name="Shape 2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7.15000000000003pt;margin-top:59.800000000000004pt;width:10.1pt;height:8.1500000000000004pt;z-index:-188744046;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061A9"/>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061A9"/>
      <w:sz w:val="19"/>
      <w:szCs w:val="19"/>
      <w:u w:val="none"/>
    </w:rPr>
  </w:style>
  <w:style w:type="character" w:customStyle="1" w:styleId="CharStyle8">
    <w:name w:val="Body text (5)_"/>
    <w:basedOn w:val="DefaultParagraphFont"/>
    <w:link w:val="Style7"/>
    <w:rPr>
      <w:rFonts w:ascii="Arial" w:eastAsia="Arial" w:hAnsi="Arial" w:cs="Arial"/>
      <w:b/>
      <w:bCs/>
      <w:i w:val="0"/>
      <w:iCs w:val="0"/>
      <w:smallCaps w:val="0"/>
      <w:strike w:val="0"/>
      <w:sz w:val="10"/>
      <w:szCs w:val="10"/>
      <w:u w:val="none"/>
    </w:rPr>
  </w:style>
  <w:style w:type="character" w:customStyle="1" w:styleId="CharStyle12">
    <w:name w:val="Body text (4)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80" w:line="276" w:lineRule="auto"/>
      <w:jc w:val="center"/>
    </w:pPr>
    <w:rPr>
      <w:rFonts w:ascii="Times New Roman" w:eastAsia="Times New Roman" w:hAnsi="Times New Roman" w:cs="Times New Roman"/>
      <w:b w:val="0"/>
      <w:bCs w:val="0"/>
      <w:i w:val="0"/>
      <w:iCs w:val="0"/>
      <w:smallCaps w:val="0"/>
      <w:strike w:val="0"/>
      <w:color w:val="4061A9"/>
      <w:sz w:val="16"/>
      <w:szCs w:val="16"/>
      <w:u w:val="none"/>
    </w:rPr>
  </w:style>
  <w:style w:type="paragraph" w:customStyle="1" w:styleId="Style5">
    <w:name w:val="Body text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061A9"/>
      <w:sz w:val="19"/>
      <w:szCs w:val="19"/>
      <w:u w:val="none"/>
    </w:rPr>
  </w:style>
  <w:style w:type="paragraph" w:customStyle="1" w:styleId="Style7">
    <w:name w:val="Body text (5)"/>
    <w:basedOn w:val="Normal"/>
    <w:link w:val="CharStyle8"/>
    <w:pPr>
      <w:widowControl w:val="0"/>
      <w:shd w:val="clear" w:color="auto" w:fill="auto"/>
      <w:spacing w:line="252" w:lineRule="auto"/>
      <w:jc w:val="center"/>
    </w:pPr>
    <w:rPr>
      <w:rFonts w:ascii="Arial" w:eastAsia="Arial" w:hAnsi="Arial" w:cs="Arial"/>
      <w:b/>
      <w:bCs/>
      <w:i w:val="0"/>
      <w:iCs w:val="0"/>
      <w:smallCaps w:val="0"/>
      <w:strike w:val="0"/>
      <w:sz w:val="10"/>
      <w:szCs w:val="10"/>
      <w:u w:val="none"/>
    </w:rPr>
  </w:style>
  <w:style w:type="paragraph" w:customStyle="1" w:styleId="Style11">
    <w:name w:val="Body text (4)"/>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Heading #1"/>
    <w:basedOn w:val="Normal"/>
    <w:link w:val="CharStyle19"/>
    <w:pPr>
      <w:widowControl w:val="0"/>
      <w:shd w:val="clear" w:color="auto" w:fill="auto"/>
      <w:spacing w:after="12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header" Target="header6.xml"/><Relationship Id="rId19" Type="http://schemas.openxmlformats.org/officeDocument/2006/relationships/footer" Target="footer7.xml"/></Relationships>
</file>

<file path=docProps/core.xml>﻿<?xml version="1.0" encoding="UTF-8" standalone="yes"?>
<cp:coreProperties xmlns:cp="http://schemas.openxmlformats.org/package/2006/metadata/core-properties" xmlns:dc="http://purl.org/dc/elements/1.1/"><dc:title>blank.pdf - 2026-04-30T145213.790.odt</dc:title><dc:subject></dc:subject><dc:creator>&#x1a;@K;&gt;20 &#x1a;0@8=0 !5@3552=0</dc:creator><cp:keywords></cp:keywords>
</cp:coreProperties>
</file>