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  <w:br/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тел. +7 (499) 755-23-23, доб. 039-111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6"/>
          <w:lang w:val="en-US" w:eastAsia="en-US"/>
        </w:rPr>
        <w:t>to39@fas.gov.ni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rPr>
          <w:rStyle w:val="CharStyle12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5.05.2026</w:t>
        <w:tab/>
      </w:r>
      <w:r>
        <w:fldChar w:fldCharType="end"/>
      </w:r>
      <w:r>
        <w:rPr>
          <w:rStyle w:val="CharStyle12"/>
        </w:rPr>
        <w:t xml:space="preserve">№ </w:t>
      </w:r>
      <w:r>
        <w:rPr>
          <w:rStyle w:val="CharStyle12"/>
          <w:u w:val="single"/>
        </w:rPr>
        <w:t>НИ/</w:t>
      </w:r>
      <w:r>
        <w:rPr>
          <w:rStyle w:val="CharStyle12"/>
        </w:rPr>
        <w:t>1714/26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5"/>
          <w:rFonts w:ascii="Times New Roman" w:eastAsia="Times New Roman" w:hAnsi="Times New Roman" w:cs="Times New Roman"/>
          <w:color w:val="476197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ЭТП ТЭК-Торг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115191, г.Москва, Гамсоновский переулок, д. 5, стр. 2, 5-й этаж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  <w:lang w:val="en-US" w:eastAsia="en-US"/>
        </w:rPr>
        <w:t>help@tektorg.ru;</w:t>
      </w:r>
      <w:r>
        <w:fldChar w:fldCharType="begin"/>
      </w:r>
      <w:r>
        <w:rPr/>
        <w:instrText> HYPERLINK "mailto:info@email.tektorg.ru" </w:instrText>
      </w:r>
      <w:r>
        <w:fldChar w:fldCharType="separate"/>
      </w:r>
      <w:r>
        <w:rPr>
          <w:rStyle w:val="CharStyle18"/>
          <w:lang w:val="en-US" w:eastAsia="en-US"/>
        </w:rPr>
        <w:t>info@email.tektorg.ru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ООО «Гудвилл»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238563, Калининградская область, г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Светлогорск, ул. Пионерская, д. 28а, кв. 78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"mailto:info@good39.ru" </w:instrText>
      </w:r>
      <w:r>
        <w:fldChar w:fldCharType="separate"/>
      </w:r>
      <w:r>
        <w:rPr>
          <w:rStyle w:val="CharStyle18"/>
          <w:lang w:val="en-US" w:eastAsia="en-US"/>
        </w:rPr>
        <w:t>info@good39.ru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Федеральное государственное бюджетное учреждение «Национальный парк «Куршская коса»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608" w:bottom="1313" w:left="1135" w:header="0" w:footer="3" w:gutter="0"/>
          <w:pgNumType w:start="1"/>
          <w:cols w:num="2" w:space="720" w:equalWidth="0">
            <w:col w:w="4229" w:space="1037"/>
            <w:col w:w="4891"/>
          </w:cols>
          <w:noEndnote/>
          <w:titlePg/>
          <w:rtlGutter w:val="0"/>
          <w:docGrid w:linePitch="360"/>
        </w:sectPr>
      </w:pPr>
      <w:r>
        <w:rPr>
          <w:rStyle w:val="CharStyle18"/>
        </w:rPr>
        <w:t xml:space="preserve">238535, Калининградская область, Зеленоградский р-н, пос.Рыбачий, ул.Лесная, 7 </w:t>
      </w:r>
      <w:r>
        <w:fldChar w:fldCharType="begin"/>
      </w:r>
      <w:r>
        <w:rPr/>
        <w:instrText> HYPERLINK "mailto:office@park-kosa.ru" </w:instrText>
      </w:r>
      <w:r>
        <w:fldChar w:fldCharType="separate"/>
      </w:r>
      <w:r>
        <w:rPr>
          <w:rStyle w:val="CharStyle18"/>
          <w:lang w:val="en-US" w:eastAsia="en-US"/>
        </w:rPr>
        <w:t>office@park-kosa.ru</w:t>
      </w:r>
      <w:r>
        <w:fldChar w:fldCharType="end"/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0" w:right="0" w:bottom="13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  <w:b/>
          <w:bCs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8"/>
          <w:b/>
          <w:bCs/>
        </w:rPr>
        <w:t>по делу № 039/06/105-318/2026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2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Резолютивная часть объявлена 30.04.2026</w:t>
        <w:tab/>
        <w:t>г. Калининград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8"/>
        </w:rPr>
        <w:t>Изготовлено в полном объеме 05.05.2026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8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Председатель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Н.С. Иванова – заместитель руководителя – начальник отдела контроля органов власти Калининградского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О.И. Аркадьева – старший государственный инспектор отдела контроля органов власти, закупок и рекламы Калининградского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В.А. Кувыкина – государственный инспектор отдела контроля органов власти, закупок и рекламы Калининградского УФАС России,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8"/>
        </w:rPr>
        <w:t>с участием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заказчика – ФГБУ «Национальный парк «Куршская коса»»: Иванцова А.А. (директор, по приказу), Селезневой Н.В. (по доверенности), Садыкова Р.А. (по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>заявителя - ООО «Гудвилл»: Калашникова М.Б. (по доверенности),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</w:pPr>
      <w:r>
        <w:rPr>
          <w:rStyle w:val="CharStyle18"/>
        </w:rPr>
        <w:t xml:space="preserve">рассмотрев в режиме видеоконференцсвязи посредством плагина </w:t>
      </w:r>
      <w:r>
        <w:rPr>
          <w:rStyle w:val="CharStyle18"/>
          <w:lang w:val="en-US" w:eastAsia="en-US"/>
        </w:rPr>
        <w:t xml:space="preserve">«TrueConf» </w:t>
      </w:r>
      <w:r>
        <w:rPr>
          <w:rStyle w:val="CharStyle18"/>
        </w:rPr>
        <w:t>жалобу (вх. №3058/26 от 22.04.2026) ООО «Гудвилл» (далее - Заявитель) на действие заказчика – ФГБУ «Национальный парк «Куршская коса»» (далее - Заказчик) при проведении электронного аукциона, предметом которого является выполнение работ по изготовлению, поставке и установке МАФ для объекта: «Экологическая тропа к роднику в пос. Краснолесье - «Как рождается река» (Калининградская область, Нестеровский муниципальный округ, национальный парк «Виштынецкий» (извещение № 0335100012026000007) (далее –Аукцион),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8"/>
          <w:b/>
          <w:bCs/>
        </w:rPr>
        <w:t>УСТАНОВИЛА: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21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21"/>
          <w:lang w:val="en-US" w:eastAsia="en-US"/>
        </w:rPr>
        <w:t xml:space="preserve">22.04.2026 </w:t>
      </w:r>
      <w:r>
        <w:rPr>
          <w:rStyle w:val="CharStyle21"/>
        </w:rPr>
        <w:t>поступила жалоба Заявителя на действия Заказчика при формировании извещения по проведению Аукциона.</w:t>
      </w:r>
      <w:bookmarkEnd w:id="0"/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Style w:val="CharStyle21"/>
          <w:b/>
          <w:bCs/>
        </w:rPr>
        <w:t>В обоснование своей жалобы Заявитель привел следующие доводы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580"/>
        <w:jc w:val="both"/>
      </w:pPr>
      <w:r>
        <w:rPr>
          <w:rStyle w:val="CharStyle18"/>
        </w:rPr>
        <w:t xml:space="preserve">Заявитель считает, что Заказчиком при проведении Аукциона (извещение </w:t>
      </w:r>
      <w:r>
        <w:rPr>
          <w:rStyle w:val="CharStyle18"/>
          <w:lang w:val="en-US" w:eastAsia="en-US"/>
        </w:rPr>
        <w:t xml:space="preserve">№ 0335100012026000007) </w:t>
      </w:r>
      <w:r>
        <w:rPr>
          <w:rStyle w:val="CharStyle18"/>
        </w:rPr>
        <w:t xml:space="preserve">допущены нарушения 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Закон о контрактной системе), так как описание объекта закупки, указанное в извещении о проведении Аукциона, содержит излишние требование к товару, что ограничивает число участников закупки.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60" w:line="240" w:lineRule="auto"/>
        <w:ind w:left="1720" w:right="0" w:firstLine="0"/>
        <w:jc w:val="both"/>
      </w:pPr>
      <w:bookmarkStart w:id="4" w:name="bookmark4"/>
      <w:r>
        <w:rPr>
          <w:rStyle w:val="CharStyle21"/>
          <w:b/>
          <w:bCs/>
        </w:rPr>
        <w:t>Заказчиком даны следующие пояснения по сути жалобы Заявителя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80"/>
        <w:jc w:val="both"/>
      </w:pPr>
      <w:r>
        <w:rPr>
          <w:rStyle w:val="CharStyle18"/>
        </w:rPr>
        <w:t>Заказчик с доводами жалобы не согласен, считает свои действия соответствующими положениям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8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8"/>
          <w:b/>
          <w:bCs/>
          <w:lang w:val="en-US" w:eastAsia="en-US"/>
        </w:rPr>
        <w:t xml:space="preserve">15 </w:t>
      </w:r>
      <w:r>
        <w:rPr>
          <w:rStyle w:val="CharStyle18"/>
          <w:b/>
          <w:bCs/>
        </w:rPr>
        <w:t xml:space="preserve">статьи </w:t>
      </w:r>
      <w:r>
        <w:rPr>
          <w:rStyle w:val="CharStyle18"/>
          <w:b/>
          <w:bCs/>
          <w:lang w:val="en-US" w:eastAsia="en-US"/>
        </w:rPr>
        <w:t xml:space="preserve">99 </w:t>
      </w:r>
      <w:r>
        <w:rPr>
          <w:rStyle w:val="CharStyle18"/>
          <w:b/>
          <w:bCs/>
        </w:rPr>
        <w:t>Закона о контрактной системе внеплановой проверки, Комиссия установила следующее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  <w:lang w:val="en-US" w:eastAsia="en-US"/>
        </w:rPr>
        <w:t xml:space="preserve">21.04.2026 </w:t>
      </w:r>
      <w:r>
        <w:rPr>
          <w:rStyle w:val="CharStyle18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ЕИС) размещено извещение о проведении Аукциона (извещение </w:t>
      </w:r>
      <w:r>
        <w:rPr>
          <w:rStyle w:val="CharStyle18"/>
          <w:lang w:val="en-US" w:eastAsia="en-US"/>
        </w:rPr>
        <w:t xml:space="preserve">№ 0335100012026000007) </w:t>
      </w:r>
      <w:r>
        <w:rPr>
          <w:rStyle w:val="CharStyle18"/>
        </w:rPr>
        <w:t>с приложениями.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Начальная (максимальная) цена контракта </w:t>
      </w:r>
      <w:r>
        <w:rPr>
          <w:rStyle w:val="CharStyle18"/>
          <w:lang w:val="en-US" w:eastAsia="en-US"/>
        </w:rPr>
        <w:t xml:space="preserve">– 3 830 000,00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Объектом закупки является выполнение работ по изготовлению, поставке и установке МАФ для объекта: «Экологическая тропа к роднику в пос. Краснолесье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«Как рождается река» (Калининградская область, Нестеровский муниципальный округ, национальный парк «Виштынецкий».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Заслушав пояснения, рассмотрев материалы дела, сопоставив их с фактическими документами,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силу пунктов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 xml:space="preserve">настоящего Федерального закона;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>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Согласно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извещении о проведении Аукциона (извещение </w:t>
      </w:r>
      <w:r>
        <w:rPr>
          <w:rStyle w:val="CharStyle18"/>
          <w:lang w:val="en-US" w:eastAsia="en-US"/>
        </w:rPr>
        <w:t xml:space="preserve">№0335100012026000007) </w:t>
      </w:r>
      <w:r>
        <w:rPr>
          <w:rStyle w:val="CharStyle18"/>
        </w:rPr>
        <w:t xml:space="preserve">указано, что объектом закупки является: «Экологическая тропа к роднику в пос. Краснолесье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«Как рождается река» (Калининградская область, Нестеровский муниципальный округ, национальный парк «Виштынецкий»), для описания объекта закупки Заказчиком выбраны следующие коды ОКПД2: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ОКПД </w:t>
      </w:r>
      <w:r>
        <w:rPr>
          <w:rStyle w:val="CharStyle18"/>
          <w:lang w:val="en-US" w:eastAsia="en-US"/>
        </w:rPr>
        <w:t xml:space="preserve">2 - 42.99.12.120 </w:t>
      </w:r>
      <w:r>
        <w:rPr>
          <w:rStyle w:val="CharStyle18"/>
        </w:rPr>
        <w:t>Объекты и сооружения для отдыха;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ОКПД2 </w:t>
      </w:r>
      <w:r>
        <w:rPr>
          <w:rStyle w:val="CharStyle18"/>
          <w:lang w:val="en-US" w:eastAsia="en-US"/>
        </w:rPr>
        <w:t xml:space="preserve">- 22.23.19.132 - </w:t>
      </w:r>
      <w:r>
        <w:rPr>
          <w:rStyle w:val="CharStyle18"/>
        </w:rPr>
        <w:t>Секции настилов композитные полимерные прохожей части или проезжей части для пешеходных и автодорожных мостов и путепроводов, из описания следует, что это изделия на основе стекловолокна и термореактивных смол (полиэфирных, винилэфирных, эпоксидных) с добавлением антипиренов и УФ-стабилизаторов.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пункте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раздела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Приложении </w:t>
      </w:r>
      <w:r>
        <w:rPr>
          <w:rStyle w:val="CharStyle18"/>
          <w:lang w:val="en-US" w:eastAsia="en-US"/>
        </w:rPr>
        <w:t xml:space="preserve">№1 </w:t>
      </w:r>
      <w:r>
        <w:rPr>
          <w:rStyle w:val="CharStyle18"/>
        </w:rPr>
        <w:t xml:space="preserve">(Описание объекта закупки) к извещению о проведении Аукциона указано, что средства для реализации закупки выделены в рамках соглашения о предоставлении федеральному бюджетному или автономному учреждению в соответствии с абзацем вторым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78.1. </w:t>
      </w:r>
      <w:r>
        <w:rPr>
          <w:rStyle w:val="CharStyle18"/>
        </w:rPr>
        <w:t xml:space="preserve">Бюджетного кодекса Российской Федерации </w:t>
      </w:r>
      <w:r>
        <w:rPr>
          <w:rStyle w:val="CharStyle18"/>
          <w:lang w:val="en-US" w:eastAsia="en-US"/>
        </w:rPr>
        <w:t xml:space="preserve">№051-02-2026-024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24 </w:t>
      </w:r>
      <w:r>
        <w:rPr>
          <w:rStyle w:val="CharStyle18"/>
        </w:rPr>
        <w:t xml:space="preserve">февраля </w:t>
      </w:r>
      <w:r>
        <w:rPr>
          <w:rStyle w:val="CharStyle18"/>
          <w:lang w:val="en-US" w:eastAsia="en-US"/>
        </w:rPr>
        <w:t xml:space="preserve">2026 </w:t>
      </w:r>
      <w:r>
        <w:rPr>
          <w:rStyle w:val="CharStyle18"/>
        </w:rPr>
        <w:t xml:space="preserve">года субсидии в рамках реализации результатов «Создана и обустроена туристская инфраструктура»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Субсидия) Федерального проекта «Сохранение биологического разнообразия и развитие экологического туризма» и Национального проекта «Экологическое благополучие».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пункте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раздела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Приложении </w:t>
      </w:r>
      <w:r>
        <w:rPr>
          <w:rStyle w:val="CharStyle18"/>
          <w:lang w:val="en-US" w:eastAsia="en-US"/>
        </w:rPr>
        <w:t xml:space="preserve">№1 </w:t>
      </w:r>
      <w:r>
        <w:rPr>
          <w:rStyle w:val="CharStyle18"/>
        </w:rPr>
        <w:t>(Описание объекта закупки) к извещению о проведении Аукциона среди прочих требований к общим характеристикам объекта закупки указывается в частности: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использование в конструкции строительных материалов, произведенных с применением вторичной переработки,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возможность круглогодичного использования, устойчивость материалов к перепаду температур и воздействию высокой влажности,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вандалоустойчивость,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безопасность для использующих их людей и окружающей среды,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экологичность.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Представитель Заказчика на заседании Комиссии пояснил, что Национальный парк «Куршская коса» образован </w:t>
      </w:r>
      <w:r>
        <w:rPr>
          <w:rStyle w:val="CharStyle18"/>
          <w:lang w:val="en-US" w:eastAsia="en-US"/>
        </w:rPr>
        <w:t xml:space="preserve">06.11.1987 </w:t>
      </w:r>
      <w:r>
        <w:rPr>
          <w:rStyle w:val="CharStyle18"/>
        </w:rPr>
        <w:t xml:space="preserve">на территории Зеленоградского района Калининградской области и является одной из старейших, уникальных, особо охраняемых природных территорий России, представляющая собой крупнейшую песчаную пересыпь в мире, в </w:t>
      </w:r>
      <w:r>
        <w:rPr>
          <w:rStyle w:val="CharStyle18"/>
          <w:lang w:val="en-US" w:eastAsia="en-US"/>
        </w:rPr>
        <w:t xml:space="preserve">2000 </w:t>
      </w:r>
      <w:r>
        <w:rPr>
          <w:rStyle w:val="CharStyle18"/>
        </w:rPr>
        <w:t>году парк был включён в список всемирного наследия ЮНЕСКО как объект, демонстрирующий гармоничное сосуществование природы и человека, а также как пример ландшафта, находящегося под постоянной угрозой со стороны ветра и воды.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0" w:right="543" w:bottom="1382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>Представитель Заказчика отметил, что изначально для настилов и ограждений Заказчик использовала древесину, однако, со временем Заказчик обнаружил, что деревянные конструкции быстро изнашиваются под воздействием влажного морского климата, частых штормов и высокой антропогенной нагрузки.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ФГБУ «Национальный парк «Куршская коса» с </w:t>
      </w:r>
      <w:r>
        <w:rPr>
          <w:rStyle w:val="CharStyle18"/>
          <w:lang w:val="en-US" w:eastAsia="en-US"/>
        </w:rPr>
        <w:t xml:space="preserve">2021 </w:t>
      </w:r>
      <w:r>
        <w:rPr>
          <w:rStyle w:val="CharStyle18"/>
        </w:rPr>
        <w:t xml:space="preserve">года для обустройства экологических троп и смотровых площадок стал использовать композитный материал, который в ходе эксплуатации показал высокую износостойкость (срок эксплуатации более </w:t>
      </w:r>
      <w:r>
        <w:rPr>
          <w:rStyle w:val="CharStyle18"/>
          <w:lang w:val="en-US" w:eastAsia="en-US"/>
        </w:rPr>
        <w:t xml:space="preserve">30 </w:t>
      </w:r>
      <w:r>
        <w:rPr>
          <w:rStyle w:val="CharStyle18"/>
        </w:rPr>
        <w:t>лет), устойчивость к коррозии, пожаробезопасность (класс Г1), экологичность, что важно для сохранения уязвимых природных комплексов Куршской косы. Композитные покрытия менее скользкие во влажном состоянии, что особенно важно для экотроп в природных зонах.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Представитель Заказчика отметил, что в извещении о проведении Аукциона прописана возможность использования материалов эквивалентных по свойствам (аналогов), показателем эквивалентности является вторично переработанный полимер (в соответствии с Постановлением Правительства РФ </w:t>
      </w:r>
      <w:r>
        <w:rPr>
          <w:rStyle w:val="CharStyle18"/>
          <w:lang w:val="en-US" w:eastAsia="en-US"/>
        </w:rPr>
        <w:t xml:space="preserve">№1224 </w:t>
      </w:r>
      <w:r>
        <w:rPr>
          <w:rStyle w:val="CharStyle18"/>
        </w:rPr>
        <w:t>от 08.07.2022г. Об особенностях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Комиссия отмечает, что для определения начальной (максимальной) цены контракта Заказчиком направлены запросы коммерческих предложений Поставщикам (исх. </w:t>
      </w:r>
      <w:r>
        <w:rPr>
          <w:rStyle w:val="CharStyle18"/>
          <w:lang w:val="en-US" w:eastAsia="en-US"/>
        </w:rPr>
        <w:t xml:space="preserve">№ 602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26.03.2026), </w:t>
      </w:r>
      <w:r>
        <w:rPr>
          <w:rStyle w:val="CharStyle18"/>
        </w:rPr>
        <w:t xml:space="preserve">согласно полученным ответам, представлены коммерческие предложения от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(трех) исполнителей ООО «Харвестер пласт» (исх. №104КП/1 от </w:t>
      </w:r>
      <w:r>
        <w:rPr>
          <w:rStyle w:val="CharStyle18"/>
          <w:lang w:val="en-US" w:eastAsia="en-US"/>
        </w:rPr>
        <w:t xml:space="preserve">01.04.2026), </w:t>
      </w:r>
      <w:r>
        <w:rPr>
          <w:rStyle w:val="CharStyle18"/>
        </w:rPr>
        <w:t xml:space="preserve">ООО «Гала-строй» (исх. </w:t>
      </w:r>
      <w:r>
        <w:rPr>
          <w:rStyle w:val="CharStyle18"/>
          <w:lang w:val="en-US" w:eastAsia="en-US"/>
        </w:rPr>
        <w:t xml:space="preserve">№0104-02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01.04.2026), </w:t>
      </w:r>
      <w:r>
        <w:rPr>
          <w:rStyle w:val="CharStyle18"/>
        </w:rPr>
        <w:t xml:space="preserve">ООО «Экозавод Крым» (исх. </w:t>
      </w:r>
      <w:r>
        <w:rPr>
          <w:rStyle w:val="CharStyle18"/>
          <w:lang w:val="en-US" w:eastAsia="en-US"/>
        </w:rPr>
        <w:t xml:space="preserve">№204/2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02.04.26), </w:t>
      </w:r>
      <w:r>
        <w:rPr>
          <w:rStyle w:val="CharStyle18"/>
        </w:rPr>
        <w:t xml:space="preserve">готовых предоставить услуги в соответствии с требованиями извещения о проведении Аукциона (извещение </w:t>
      </w:r>
      <w:r>
        <w:rPr>
          <w:rStyle w:val="CharStyle18"/>
          <w:lang w:val="en-US" w:eastAsia="en-US"/>
        </w:rPr>
        <w:t>№0335100012026000007).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Комиссия отмечает,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частью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Закон о контрактной системе предусматривает право Заказчика устанавливать требования к характеристикам товара, которые отвечают его потребностям и необходимы для выполнения соответствующих государственных функций.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Как отмечено в пункте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утвержденной Президиумом Верховного Суда Российской Федерации от </w:t>
      </w:r>
      <w:r>
        <w:rPr>
          <w:rStyle w:val="CharStyle18"/>
          <w:lang w:val="en-US" w:eastAsia="en-US"/>
        </w:rPr>
        <w:t xml:space="preserve">28.06.2017, </w:t>
      </w:r>
      <w:r>
        <w:rPr>
          <w:rStyle w:val="CharStyle18"/>
        </w:rPr>
        <w:t>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 соответствии с указанным, Комиссия считает, что Заказчик, определяя требования к объекту закупки, которой соответствует его потребностям, с учетом необходимости решения по своих задач перед населением, не обязан исходить из возможностей конкретного исполнителя или необходимости обеспечения участия в закупке наибольшего числа участников в ущерб собственным потребностям.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Выбор функциональных, технических и качественных характеристик, установленных в описании объекта закупки (извещение </w:t>
      </w:r>
      <w:r>
        <w:rPr>
          <w:rStyle w:val="CharStyle18"/>
          <w:lang w:val="en-US" w:eastAsia="en-US"/>
        </w:rPr>
        <w:t xml:space="preserve">№ 0335100012026000007) </w:t>
      </w:r>
      <w:r>
        <w:rPr>
          <w:rStyle w:val="CharStyle18"/>
        </w:rPr>
        <w:t>обусловлен потребностью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30.04.2026 </w:t>
      </w:r>
      <w:r>
        <w:rPr>
          <w:rStyle w:val="CharStyle18"/>
        </w:rPr>
        <w:t xml:space="preserve">№ИЭА1на участие в Аукционе подано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(две) заявки на участие, участник с идентификационным номером </w:t>
      </w:r>
      <w:r>
        <w:rPr>
          <w:rStyle w:val="CharStyle18"/>
          <w:lang w:val="en-US" w:eastAsia="en-US"/>
        </w:rPr>
        <w:t xml:space="preserve">№2 </w:t>
      </w:r>
      <w:r>
        <w:rPr>
          <w:rStyle w:val="CharStyle18"/>
        </w:rPr>
        <w:t xml:space="preserve">с ценовым предложением </w:t>
      </w:r>
      <w:r>
        <w:rPr>
          <w:rStyle w:val="CharStyle18"/>
          <w:lang w:val="en-US" w:eastAsia="en-US"/>
        </w:rPr>
        <w:t xml:space="preserve">3 351 250,00 </w:t>
      </w:r>
      <w:r>
        <w:rPr>
          <w:rStyle w:val="CharStyle18"/>
        </w:rPr>
        <w:t xml:space="preserve">рубля признан победителем Аукциона, снижение от начальной (максимальной) цены контракта составило </w:t>
      </w:r>
      <w:r>
        <w:rPr>
          <w:rStyle w:val="CharStyle18"/>
          <w:lang w:val="en-US" w:eastAsia="en-US"/>
        </w:rPr>
        <w:t>12%.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580"/>
        <w:jc w:val="both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64" w:left="1106" w:header="682" w:footer="136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 xml:space="preserve">В связи с вышеизложенным Комиссия делает вывод, что установление Заказчиком характеристик для товара, который будет использоваться при выполнении работ, не нарушает требования Закона о контрактной системе, так как участником Аукциона могут выступить любые </w:t>
      </w:r>
      <w:r>
        <w:rPr>
          <w:rStyle w:val="CharStyle18"/>
          <w:lang w:val="en-US" w:eastAsia="en-US"/>
        </w:rPr>
        <w:t>2026-1783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юридические или физические лица, а также индивидуальные предприниматели, готовое выполнить работы, отвечающие требованиям извещения </w:t>
      </w:r>
      <w:r>
        <w:rPr>
          <w:rStyle w:val="CharStyle18"/>
          <w:lang w:val="en-US" w:eastAsia="en-US"/>
        </w:rPr>
        <w:t xml:space="preserve">№0335100012026000007 </w:t>
      </w:r>
      <w:r>
        <w:rPr>
          <w:rStyle w:val="CharStyle18"/>
        </w:rPr>
        <w:t>о проведении Аукциона, и признает жалобу Заявителя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8"/>
        </w:rPr>
        <w:t xml:space="preserve">В связи с изложенным, руководствуясь частями </w:t>
      </w:r>
      <w:r>
        <w:rPr>
          <w:rStyle w:val="CharStyle18"/>
          <w:lang w:val="en-US" w:eastAsia="en-US"/>
        </w:rPr>
        <w:t xml:space="preserve">1, 4, 7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105, </w:t>
      </w:r>
      <w:r>
        <w:rPr>
          <w:rStyle w:val="CharStyle18"/>
        </w:rPr>
        <w:t xml:space="preserve">частью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системе, Комиссия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8"/>
          <w:b/>
          <w:bCs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Признать жалобу ООО «Гудвилл» необоснованной.</w:t>
      </w:r>
    </w:p>
    <w:p>
      <w:pPr>
        <w:widowControl w:val="0"/>
        <w:spacing w:line="1" w:lineRule="exact"/>
        <w:sectPr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4472" w:left="1106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06400" distB="22542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406400</wp:posOffset>
                </wp:positionV>
                <wp:extent cx="156972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32.pt;width:123.60000000000001pt;height:17.050000000000001pt;z-index:-125829374;mso-wrap-distance-left:0;mso-wrap-distance-top:3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01015" distB="0" distL="0" distR="1816735" simplePos="0" relativeHeight="125829381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501015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561975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5pt;margin-top:44.2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06400" distB="225425" distL="0" distR="0" simplePos="0" relativeHeight="125829382" behindDoc="0" locked="0" layoutInCell="1" allowOverlap="1">
                <wp:simplePos x="0" y="0"/>
                <wp:positionH relativeFrom="page">
                  <wp:posOffset>6289675</wp:posOffset>
                </wp:positionH>
                <wp:positionV relativeFrom="paragraph">
                  <wp:posOffset>406400</wp:posOffset>
                </wp:positionV>
                <wp:extent cx="899160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5.25pt;margin-top:32.pt;width:70.799999999999997pt;height:17.050000000000001pt;z-index:-125829371;mso-wrap-distance-left:0;mso-wrap-distance-top:3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Иванова Наталия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00F28C6F6A8B4A952299ACA9CA1836D0C</w:t>
      </w:r>
      <w:r>
        <w:rPr>
          <w:rStyle w:val="CharStyle26"/>
          <w:lang w:val="en-US" w:eastAsia="en-US"/>
        </w:rPr>
        <w:t>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B5B5B"/>
        </w:rPr>
        <w:t>29.10.2025 по 22.01</w:t>
      </w:r>
      <w:r>
        <w:rPr>
          <w:rStyle w:val="CharStyle26"/>
        </w:rPr>
        <w:t>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960" w:right="0" w:firstLine="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2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О.И. Аркадьева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Аркадьева Ольга Ивановна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0087ECF0D31D0BF9F3078A0F5FD96CD61</w:t>
      </w:r>
      <w:r>
        <w:rPr>
          <w:rStyle w:val="CharStyle26"/>
          <w:lang w:val="en-US" w:eastAsia="en-US"/>
        </w:rPr>
        <w:t>^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B5B5B"/>
        </w:rPr>
        <w:t xml:space="preserve">26.12.2025 по </w:t>
      </w:r>
      <w:r>
        <w:rPr>
          <w:rStyle w:val="CharStyle26"/>
        </w:rPr>
        <w:t>21.03.2027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960" w:right="0" w:firstLine="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В.А. Кувыкина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Кувыкина Виктория Анатольевна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5FBBB0E872F35F1B9897F6A926266430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26"/>
        </w:rPr>
        <w:t xml:space="preserve">Действителен с 26.12.2025 </w:t>
      </w:r>
      <w:r>
        <w:rPr>
          <w:rStyle w:val="CharStyle26"/>
          <w:color w:val="5B5B5B"/>
        </w:rPr>
        <w:t xml:space="preserve">по </w:t>
      </w:r>
      <w:r>
        <w:rPr>
          <w:rStyle w:val="CharStyle26"/>
        </w:rPr>
        <w:t>21.03.2027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9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10064115</wp:posOffset>
              </wp:positionV>
              <wp:extent cx="6584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2026-1783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99999999999999pt;margin-top:792.45000000000005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2026-1783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2026-1783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2026-1783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10064115</wp:posOffset>
              </wp:positionV>
              <wp:extent cx="658495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2026-1783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792.45000000000005pt;width:51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2026-1783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Body text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Heading #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70"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00" w:line="247" w:lineRule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Body text (6)"/>
    <w:basedOn w:val="Normal"/>
    <w:link w:val="CharStyle12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4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