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$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8"/>
          <w:b/>
          <w:bCs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  <w:b/>
          <w:bCs/>
        </w:rPr>
        <w:t>Федеральной антимонопольной</w:t>
        <w:br/>
        <w:t>службы по Ханты-Мансийскому</w:t>
        <w:br/>
        <w:t>автономному округу - Югре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8"/>
          <w:sz w:val="19"/>
          <w:szCs w:val="19"/>
        </w:rPr>
        <w:t>ул. Мира, д. 27, Ханты-Мансийск, 628012</w:t>
        <w:br/>
        <w:t>телефон/факс +7 (3467) 38-80-81</w:t>
        <w:br/>
      </w:r>
      <w:r>
        <w:rPr>
          <w:rStyle w:val="CharStyle8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8"/>
          <w:sz w:val="16"/>
          <w:szCs w:val="16"/>
          <w:lang w:val="en-US" w:eastAsia="en-US"/>
        </w:rPr>
        <w:t>to86@fas.gov.ru</w:t>
      </w:r>
      <w:r>
        <w:fldChar w:fldCharType="end"/>
      </w:r>
      <w:r>
        <w:rPr>
          <w:rStyle w:val="CharStyle8"/>
          <w:sz w:val="16"/>
          <w:szCs w:val="16"/>
          <w:lang w:val="en-US" w:eastAsia="en-US"/>
        </w:rPr>
        <w:t xml:space="preserve">, </w:t>
      </w:r>
      <w:r>
        <w:rPr>
          <w:rStyle w:val="CharStyle8"/>
          <w:sz w:val="16"/>
          <w:szCs w:val="16"/>
        </w:rPr>
        <w:t xml:space="preserve">сайт </w:t>
      </w:r>
      <w:r>
        <w:fldChar w:fldCharType="begin"/>
      </w:r>
      <w:r>
        <w:rPr/>
        <w:instrText> HYPERLINK "http://hmao.fas.gov.ru" </w:instrText>
      </w:r>
      <w:r>
        <w:fldChar w:fldCharType="separate"/>
      </w:r>
      <w:r>
        <w:rPr>
          <w:rStyle w:val="CharStyle8"/>
          <w:sz w:val="16"/>
          <w:szCs w:val="16"/>
          <w:lang w:val="en-US" w:eastAsia="en-US"/>
        </w:rPr>
        <w:t>http://hmao.fas.gov.ru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</w:rPr>
        <w:t>ИНН 8601009316 КПП 860101001 ОГРН 1028600512093</w:t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4"/>
          <w:u w:val="none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4"/>
          <w:u w:val="none"/>
        </w:rPr>
        <w:t>4.05.</w:t>
      </w:r>
      <w:r>
        <w:rPr>
          <w:rStyle w:val="CharStyle14"/>
        </w:rPr>
        <w:t>2026</w:t>
      </w:r>
      <w:r>
        <w:rPr>
          <w:rStyle w:val="CharStyle14"/>
          <w:u w:val="none"/>
        </w:rPr>
        <w:tab/>
      </w:r>
      <w:r>
        <w:fldChar w:fldCharType="end"/>
      </w:r>
      <w:r>
        <w:rPr>
          <w:rStyle w:val="CharStyle14"/>
          <w:u w:val="none"/>
        </w:rPr>
        <w:t xml:space="preserve">№ </w:t>
      </w:r>
      <w:r>
        <w:rPr>
          <w:rStyle w:val="CharStyle14"/>
        </w:rPr>
        <w:t>СБ/3024/26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8"/>
          <w:sz w:val="19"/>
          <w:szCs w:val="19"/>
        </w:rPr>
        <w:t xml:space="preserve">На№  от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7"/>
          <w:b/>
          <w:bCs/>
        </w:rPr>
        <w:t>Оператор ЭП: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ООО «Фабрикант.ру»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en-US" w:eastAsia="en-US"/>
        </w:rPr>
        <w:t xml:space="preserve">e-mail: 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9"/>
          <w:lang w:val="en-US" w:eastAsia="en-US"/>
        </w:rPr>
        <w:t>info@fabrikant.ru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Заявитель: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Индивидуальный предприниматель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Взятышев Владислав Сергеевич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199178, г. Санкт-Петербург, пр-кт Малый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В.О., д. 19, литер А, кв. 14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9"/>
          <w:lang w:val="en-US" w:eastAsia="en-US"/>
        </w:rPr>
        <w:t xml:space="preserve">e-mail: </w:t>
      </w:r>
      <w:r>
        <w:fldChar w:fldCharType="begin"/>
      </w:r>
      <w:r>
        <w:rPr/>
        <w:instrText> HYPERLINK "mailto:ip.vzyatyshev@mail.ru" </w:instrText>
      </w:r>
      <w:r>
        <w:fldChar w:fldCharType="separate"/>
      </w:r>
      <w:r>
        <w:rPr>
          <w:rStyle w:val="CharStyle19"/>
          <w:lang w:val="en-US" w:eastAsia="en-US"/>
        </w:rPr>
        <w:t>ip.vzyatyshev@mail.ru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7"/>
          <w:b/>
          <w:bCs/>
        </w:rPr>
        <w:t>Заказчик: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Бюджетное учреждение Ханты-Мансийского автономного округа — Югры «Дирекция по эксплуатации служебных зданий»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628011, Ханты-Мансийский автономный округ — Югра, г. Ханты-Мансийск, ул.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Анны Коньковой, д. 3, к. 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9"/>
          <w:lang w:val="en-US" w:eastAsia="en-US"/>
        </w:rPr>
        <w:t xml:space="preserve">e-mail: </w:t>
      </w:r>
      <w:r>
        <w:fldChar w:fldCharType="begin"/>
      </w:r>
      <w:r>
        <w:rPr/>
        <w:instrText> HYPERLINK "mailto:info@deszhmao.ru" </w:instrText>
      </w:r>
      <w:r>
        <w:fldChar w:fldCharType="separate"/>
      </w:r>
      <w:r>
        <w:rPr>
          <w:rStyle w:val="CharStyle19"/>
          <w:lang w:val="en-US" w:eastAsia="en-US"/>
        </w:rPr>
        <w:t>info@deszhmao.ru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7"/>
          <w:b/>
          <w:bCs/>
        </w:rPr>
        <w:t>Уполномоченный орган: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Департамент государственного заказа Ханты-Мансийского автономного округа —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Югры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628011, Ханты-Мансийский автономный округ — Югра, г. Ханты-Мансийск, ул.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Мира, д. 14, к. 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246" w:right="647" w:bottom="1313" w:left="1135" w:header="0" w:footer="3" w:gutter="0"/>
          <w:pgNumType w:start="1"/>
          <w:cols w:num="2" w:space="720" w:equalWidth="0">
            <w:col w:w="4171" w:space="1099"/>
            <w:col w:w="4848"/>
          </w:cols>
          <w:noEndnote/>
          <w:titlePg/>
          <w:rtlGutter w:val="0"/>
          <w:docGrid w:linePitch="360"/>
        </w:sectPr>
      </w:pPr>
      <w:r>
        <w:rPr>
          <w:rStyle w:val="CharStyle19"/>
          <w:lang w:val="en-US" w:eastAsia="en-US"/>
        </w:rPr>
        <w:t xml:space="preserve">e-mail: </w:t>
      </w:r>
      <w:r>
        <w:fldChar w:fldCharType="begin"/>
      </w:r>
      <w:r>
        <w:rPr/>
        <w:instrText> HYPERLINK "mailto:dgz@admhmao.ru" </w:instrText>
      </w:r>
      <w:r>
        <w:fldChar w:fldCharType="separate"/>
      </w:r>
      <w:r>
        <w:rPr>
          <w:rStyle w:val="CharStyle19"/>
          <w:lang w:val="en-US" w:eastAsia="en-US"/>
        </w:rPr>
        <w:t>dgz@admhmao.ru</w:t>
      </w:r>
      <w:r>
        <w:fldChar w:fldCharType="end"/>
      </w:r>
    </w:p>
    <w:p>
      <w:pPr>
        <w:widowControl w:val="0"/>
        <w:spacing w:line="147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7" w:right="0" w:bottom="130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8" w:name="bookmark8"/>
      <w:r>
        <w:rPr>
          <w:rStyle w:val="CharStyle17"/>
          <w:b/>
          <w:bCs/>
        </w:rPr>
        <w:t>РЕШЕНИЕ № 086/06/33-768/2026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tabs>
          <w:tab w:pos="783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Резолютивная часть объявлена 28.04.2026</w:t>
        <w:tab/>
        <w:t>г. Ханты-Мансийск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9"/>
        </w:rPr>
        <w:t>Изготовлено в полном объеме 04.05.2026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Комиссия Управления Федеральной антимонопольной службы по Ханты-Мансийскому автономному округу – Югре (далее –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Председатель комиссии: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Бочков С.А. – Руководитель Ханты-Мансийского УФАС России,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Членов комиссии: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Вегеш Н.Ю. – Начальник отдела контроля закупок,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Шаврин А.В. – Эксперт отдела контроля закупок,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от Заявителя – отсутствовали, уведомлены надлежащим образом,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от Заказчика – посредством видео-конференцсвязи Ширшов А.А. по доверенности № 04-ОПиИР/2026 от 12.01.2026 г.,</w:t>
      </w:r>
    </w:p>
    <w:p>
      <w:pPr>
        <w:widowControl w:val="0"/>
        <w:spacing w:line="1" w:lineRule="exact"/>
      </w:pPr>
      <w:r>
        <w:drawing>
          <wp:anchor distT="1524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152400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 xml:space="preserve">от Уполномоченного органа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посредством видео-конференцсвязи Пойлова Е.А. по доверенности </w:t>
      </w:r>
      <w:r>
        <w:rPr>
          <w:rStyle w:val="CharStyle19"/>
          <w:lang w:val="en-US" w:eastAsia="en-US"/>
        </w:rPr>
        <w:t xml:space="preserve">№ 11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12.01.2026 </w:t>
      </w:r>
      <w:r>
        <w:rPr>
          <w:rStyle w:val="CharStyle19"/>
        </w:rPr>
        <w:t>г.,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 xml:space="preserve">рассмотрев жалобу ИП Взятышева В.С. (ИНН: </w:t>
      </w:r>
      <w:r>
        <w:rPr>
          <w:rStyle w:val="CharStyle19"/>
          <w:lang w:val="en-US" w:eastAsia="en-US"/>
        </w:rPr>
        <w:t xml:space="preserve">8601009316)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23.04.2026 № 4546/26, </w:t>
      </w:r>
      <w:r>
        <w:rPr>
          <w:rStyle w:val="CharStyle19"/>
        </w:rPr>
        <w:t xml:space="preserve">на действия Заказчика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Бюджетного учреждения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«Дирекция по эксплуатации служебных зданий», Уполномоченного органа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Департамента государственного заказа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при проведении открытого конкурса в электронной форме, предметом которого является выполнение работ по монтажу быстровозводимого сооружения «Ангар из металла. Шифр </w:t>
      </w:r>
      <w:r>
        <w:rPr>
          <w:rStyle w:val="CharStyle19"/>
          <w:lang w:val="en-US" w:eastAsia="en-US"/>
        </w:rPr>
        <w:t xml:space="preserve">1808-2025» </w:t>
      </w:r>
      <w:r>
        <w:rPr>
          <w:rStyle w:val="CharStyle19"/>
        </w:rPr>
        <w:t xml:space="preserve">(извещение </w:t>
      </w:r>
      <w:r>
        <w:rPr>
          <w:rStyle w:val="CharStyle19"/>
          <w:lang w:val="en-US" w:eastAsia="en-US"/>
        </w:rPr>
        <w:t xml:space="preserve">№ 0187200001726000379) </w:t>
      </w:r>
      <w:r>
        <w:rPr>
          <w:rStyle w:val="CharStyle19"/>
        </w:rPr>
        <w:t xml:space="preserve">и в результате осуществления внеплановой проверки в соответствии с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15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0" w:name="bookmark10"/>
      <w:r>
        <w:rPr>
          <w:rStyle w:val="CharStyle17"/>
          <w:b/>
          <w:bCs/>
        </w:rPr>
        <w:t>УСТАНОВИЛА: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Управление Федеральной антимонопольной службы по Ханты-Мансийскому автономному округу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Югре поступила жалоба ИП Взятышева В.С. (ИНН: </w:t>
      </w:r>
      <w:r>
        <w:rPr>
          <w:rStyle w:val="CharStyle19"/>
          <w:lang w:val="en-US" w:eastAsia="en-US"/>
        </w:rPr>
        <w:t xml:space="preserve">8601009316)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23.04.2026 № 4546/26, </w:t>
      </w:r>
      <w:r>
        <w:rPr>
          <w:rStyle w:val="CharStyle19"/>
        </w:rPr>
        <w:t xml:space="preserve">на действия Заказчика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Бюджетного учреждения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«Дирекция по эксплуатации служебных зданий» Уполномоченного органа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Департамента государственного заказа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при проведении открытого конкурса в электронной форме, предметом которого является выполнение работ по монтажу быстровозводимого сооружения «Ангар из металла. Шифр </w:t>
      </w:r>
      <w:r>
        <w:rPr>
          <w:rStyle w:val="CharStyle19"/>
          <w:lang w:val="en-US" w:eastAsia="en-US"/>
        </w:rPr>
        <w:t xml:space="preserve">1808-2025» </w:t>
      </w:r>
      <w:r>
        <w:rPr>
          <w:rStyle w:val="CharStyle19"/>
        </w:rPr>
        <w:t xml:space="preserve">(извещение </w:t>
      </w:r>
      <w:r>
        <w:rPr>
          <w:rStyle w:val="CharStyle19"/>
          <w:lang w:val="en-US" w:eastAsia="en-US"/>
        </w:rPr>
        <w:t>№ 0187200001726000379).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В доводах жалобы Заявитель указал следующее: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По мнению Заявителя, Заказчиком неправомерно применен код ОКПД2 </w:t>
      </w:r>
      <w:r>
        <w:rPr>
          <w:rStyle w:val="CharStyle19"/>
          <w:lang w:val="en-US" w:eastAsia="en-US"/>
        </w:rPr>
        <w:t xml:space="preserve">43.99.50.110, </w:t>
      </w:r>
      <w:r>
        <w:rPr>
          <w:rStyle w:val="CharStyle19"/>
        </w:rPr>
        <w:t xml:space="preserve">надлежащим кодом для описания объекта закупки является код </w:t>
      </w:r>
      <w:r>
        <w:rPr>
          <w:rStyle w:val="CharStyle19"/>
          <w:lang w:val="en-US" w:eastAsia="en-US"/>
        </w:rPr>
        <w:t xml:space="preserve">41.20.40 </w:t>
      </w:r>
      <w:r>
        <w:rPr>
          <w:rStyle w:val="CharStyle19"/>
        </w:rPr>
        <w:t>«Работы строительные по возведению нежилых зданий и сооружений».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По мнению Заявителя, Заказчиком в извещении о проведении закупки неправомерно установлены дополнительные требования к участникам закупки в соответствии с частью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описании объекта закупки, в пункте </w:t>
      </w:r>
      <w:r>
        <w:rPr>
          <w:rStyle w:val="CharStyle19"/>
          <w:lang w:val="en-US" w:eastAsia="en-US"/>
        </w:rPr>
        <w:t xml:space="preserve">3, </w:t>
      </w:r>
      <w:r>
        <w:rPr>
          <w:rStyle w:val="CharStyle19"/>
        </w:rPr>
        <w:t xml:space="preserve">Заказчиком установлен вид работ: монтаж ангар-гаража размером в плане </w:t>
      </w:r>
      <w:r>
        <w:rPr>
          <w:rStyle w:val="CharStyle19"/>
          <w:lang w:val="en-US" w:eastAsia="en-US"/>
        </w:rPr>
        <w:t xml:space="preserve">15,4 </w:t>
      </w:r>
      <w:r>
        <w:rPr>
          <w:rStyle w:val="CharStyle19"/>
        </w:rPr>
        <w:t xml:space="preserve">х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 xml:space="preserve">м. При этом в соответствии с проектной документацией (шифры </w:t>
      </w:r>
      <w:r>
        <w:rPr>
          <w:rStyle w:val="CharStyle19"/>
          <w:lang w:val="en-US" w:eastAsia="en-US"/>
        </w:rPr>
        <w:t xml:space="preserve">1808-2025 – </w:t>
      </w:r>
      <w:r>
        <w:rPr>
          <w:rStyle w:val="CharStyle19"/>
        </w:rPr>
        <w:t xml:space="preserve">КМ, КМД, </w:t>
      </w:r>
      <w:r>
        <w:rPr>
          <w:rStyle w:val="CharStyle19"/>
          <w:lang w:val="en-US" w:eastAsia="en-US"/>
        </w:rPr>
        <w:t xml:space="preserve">1808-2025 – </w:t>
      </w:r>
      <w:r>
        <w:rPr>
          <w:rStyle w:val="CharStyle19"/>
        </w:rPr>
        <w:t xml:space="preserve">АС), являющейся неотъемлемым приложением к описанию объекта закупки, размер ангара составляет </w:t>
      </w:r>
      <w:r>
        <w:rPr>
          <w:rStyle w:val="CharStyle19"/>
          <w:lang w:val="en-US" w:eastAsia="en-US"/>
        </w:rPr>
        <w:t xml:space="preserve">30 </w:t>
      </w:r>
      <w:r>
        <w:rPr>
          <w:rStyle w:val="CharStyle19"/>
        </w:rPr>
        <w:t>м.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Заказчиком не определены надлежащие характеристики указанных материалов (Часть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Закона о контрактной системе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 По мнению Заявителя, отсутствие конкретных показателей (марка по прочности, морозостойкость и др.) делает невозможным объективную оценку соответствия товара требованиям Заказчика).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Заказчиком в пункте </w:t>
      </w:r>
      <w:r>
        <w:rPr>
          <w:rStyle w:val="CharStyle19"/>
          <w:lang w:val="en-US" w:eastAsia="en-US"/>
        </w:rPr>
        <w:t xml:space="preserve">8 </w:t>
      </w:r>
      <w:r>
        <w:rPr>
          <w:rStyle w:val="CharStyle19"/>
        </w:rPr>
        <w:t>раздела «Описание объекта закупки» («Технические требования к материалам») установлено требование, согласно которому применяемые материалы до их приобретения должны быть согласованы с Заказчиком. При этом Заказчиком не установлены ни порядок, ни сроки такого согласования, а также не определена форма, в которой оно осуществляется.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90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Заказчиком не установлено предельное максимальное значение показателя «наличие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у участников закупки опыта работы, связанного с предметом контракта». Заявитель считает что установленный порядок оценки противоречит требованиям Закона о контрактной системе поскольку не позволяет выявить лучшее предложение и ставит участников закупки в неравное положение, создавая преимущества для лиц, предоставивших договоры с заведомо несоразмерно высокой ценой.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 xml:space="preserve">Объектом закупки является «Выполнение работ по монтажу быстровозводимого сооружения «Ангар из металла. Шифр </w:t>
      </w:r>
      <w:r>
        <w:rPr>
          <w:rStyle w:val="CharStyle19"/>
          <w:lang w:val="en-US" w:eastAsia="en-US"/>
        </w:rPr>
        <w:t xml:space="preserve">1808-2025», </w:t>
      </w:r>
      <w:r>
        <w:rPr>
          <w:rStyle w:val="CharStyle19"/>
        </w:rPr>
        <w:t>то есть монтажные работы, а не строительство в том значении, которое заложено Заказчиком в перечень сопоставимых работ. По мнению Заявителя, установленный Заказчиком перечень работ сопоставимого характера не соответствует фактическому объекту закупки, что влечет за собой нарушение требований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  <w:b/>
          <w:bCs/>
        </w:rPr>
        <w:t>В ходе рассмотрения доводов сторон, материалов дела и проведения внеплановой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</w:rPr>
        <w:t>проверки, Комиссией Управления установлено следующее.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 xml:space="preserve">Согласно извещению по закупке </w:t>
      </w:r>
      <w:r>
        <w:rPr>
          <w:rStyle w:val="CharStyle22"/>
          <w:lang w:val="en-US" w:eastAsia="en-US"/>
        </w:rPr>
        <w:t xml:space="preserve">№ 0187200001726000379 </w:t>
      </w:r>
      <w:r>
        <w:rPr>
          <w:rStyle w:val="CharStyle22"/>
        </w:rPr>
        <w:t>Заказчику требуется:</w:t>
      </w:r>
    </w:p>
    <w:tbl>
      <w:tblPr>
        <w:tblOverlap w:val="never"/>
        <w:jc w:val="center"/>
        <w:tblLayout w:type="fixed"/>
      </w:tblPr>
      <w:tblGrid>
        <w:gridCol w:w="2088"/>
        <w:gridCol w:w="1320"/>
        <w:gridCol w:w="984"/>
        <w:gridCol w:w="1219"/>
        <w:gridCol w:w="3254"/>
        <w:gridCol w:w="1354"/>
      </w:tblGrid>
      <w:tr>
        <w:trPr>
          <w:trHeight w:val="11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sz w:val="20"/>
                <w:szCs w:val="20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sz w:val="20"/>
                <w:szCs w:val="20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2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sz w:val="20"/>
                <w:szCs w:val="20"/>
              </w:rPr>
              <w:t>Цена за единицу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20" w:lineRule="auto"/>
              <w:ind w:left="180" w:right="0" w:firstLine="112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sz w:val="20"/>
                <w:szCs w:val="20"/>
              </w:rPr>
              <w:t>Количество (объем Заказчик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20" w:lineRule="auto"/>
              <w:ind w:left="144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sz w:val="20"/>
                <w:szCs w:val="20"/>
              </w:rPr>
              <w:t>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sz w:val="20"/>
                <w:szCs w:val="20"/>
              </w:rPr>
              <w:t>Стоимость позиции</w:t>
            </w:r>
          </w:p>
        </w:tc>
      </w:tr>
      <w:tr>
        <w:trPr>
          <w:trHeight w:val="20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>Выполнение работ по монтажу быстровозводимого сооружения «Ангар из металла. Шифр 1808</w:t>
              <w:softHyphen/>
            </w:r>
            <w:r>
              <w:rPr>
                <w:rStyle w:val="CharStyle25"/>
                <w:sz w:val="20"/>
                <w:szCs w:val="20"/>
                <w:lang w:val="ru-RU" w:eastAsia="ru-RU"/>
              </w:rPr>
            </w:r>
            <w:r>
              <w:rPr>
                <w:rStyle w:val="CharStyle25"/>
                <w:sz w:val="20"/>
                <w:szCs w:val="20"/>
              </w:rPr>
              <w:t>2025»</w:t>
            </w:r>
            <w:r>
              <w:rPr>
                <w:rStyle w:val="CharStyle25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Style w:val="CharStyle25"/>
                <w:sz w:val="20"/>
                <w:szCs w:val="20"/>
              </w:rPr>
              <w:t xml:space="preserve">Идентификатор: </w:t>
            </w:r>
            <w:r>
              <w:rPr>
                <w:rStyle w:val="CharStyle25"/>
                <w:sz w:val="20"/>
                <w:szCs w:val="20"/>
                <w:lang w:val="en-US" w:eastAsia="en-US"/>
              </w:rPr>
              <w:t>210752212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  <w:lang w:val="en-US" w:eastAsia="en-US"/>
              </w:rPr>
              <w:t>43.99.50.110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>Работа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>Условная единица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  <w:lang w:val="en-US" w:eastAsia="en-US"/>
              </w:rPr>
              <w:t>9997925.00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>БЮДЖЕТНОЕ УЧРЕЖДЕНИЕ ХАНТЫ-МАНСИЙСКОГО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tabs>
                <w:tab w:pos="2875" w:val="left"/>
              </w:tabs>
              <w:bidi w:val="0"/>
              <w:spacing w:before="0" w:after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 xml:space="preserve">АВТОНОМНОГО ОКРУГА </w:t>
            </w:r>
            <w:r>
              <w:rPr>
                <w:rStyle w:val="CharStyle25"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25"/>
                <w:smallCaps/>
                <w:sz w:val="20"/>
                <w:szCs w:val="20"/>
              </w:rPr>
              <w:t>югры «дирекция по</w:t>
            </w:r>
            <w:r>
              <w:rPr>
                <w:rStyle w:val="CharStyle25"/>
                <w:sz w:val="20"/>
                <w:szCs w:val="20"/>
              </w:rPr>
              <w:tab/>
            </w:r>
            <w:r>
              <w:rPr>
                <w:rStyle w:val="CharStyle25"/>
                <w:sz w:val="20"/>
                <w:szCs w:val="20"/>
                <w:vertAlign w:val="superscript"/>
                <w:lang w:val="en-US" w:eastAsia="en-US"/>
              </w:rPr>
              <w:t>1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>ЭКСПЛУАТАЦИИ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>СЛУЖЕБНЫХ ЗДАНИЙ»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  <w:lang w:val="en-US" w:eastAsia="en-US"/>
              </w:rPr>
              <w:t>9997925.00</w:t>
            </w: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133"/>
        <w:gridCol w:w="2842"/>
        <w:gridCol w:w="3235"/>
      </w:tblGrid>
      <w:tr>
        <w:trPr>
          <w:trHeight w:val="634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sz w:val="20"/>
                <w:szCs w:val="20"/>
              </w:rPr>
              <w:t xml:space="preserve">Характеристики товара, работы, услуги </w:t>
            </w:r>
            <w:r>
              <w:rPr>
                <w:rStyle w:val="CharStyle25"/>
                <w:b/>
                <w:bCs/>
                <w:sz w:val="20"/>
                <w:szCs w:val="20"/>
                <w:lang w:val="en-US" w:eastAsia="en-US"/>
              </w:rPr>
              <w:t xml:space="preserve">( </w:t>
            </w:r>
            <w:r>
              <w:rPr>
                <w:rStyle w:val="CharStyle25"/>
                <w:b/>
                <w:bCs/>
                <w:sz w:val="20"/>
                <w:szCs w:val="20"/>
              </w:rPr>
              <w:t xml:space="preserve">Выполнение работ по монтажу быстровозводимого сооружения «Ангар из металла. Шифр </w:t>
            </w:r>
            <w:r>
              <w:rPr>
                <w:rStyle w:val="CharStyle25"/>
                <w:b/>
                <w:bCs/>
                <w:sz w:val="20"/>
                <w:szCs w:val="20"/>
                <w:lang w:val="en-US" w:eastAsia="en-US"/>
              </w:rPr>
              <w:t>1808-2025» )</w:t>
            </w:r>
          </w:p>
        </w:tc>
      </w:tr>
      <w:tr>
        <w:trPr>
          <w:trHeight w:val="62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b/>
                <w:bCs/>
                <w:sz w:val="20"/>
                <w:szCs w:val="20"/>
              </w:rPr>
              <w:t>Инструкция по заполнению характеристики в заявке</w:t>
            </w:r>
          </w:p>
        </w:tc>
      </w:tr>
      <w:tr>
        <w:trPr>
          <w:trHeight w:val="81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 xml:space="preserve">Выполнение работ по монтажу быстровозводимого сооружения «Ангар из металла. Шифр </w:t>
            </w:r>
            <w:r>
              <w:rPr>
                <w:rStyle w:val="CharStyle25"/>
                <w:sz w:val="20"/>
                <w:szCs w:val="20"/>
                <w:lang w:val="en-US" w:eastAsia="en-US"/>
              </w:rPr>
              <w:t>1808-2025»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>Описание объекта закупки приложено отдельным файлом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96" w:right="0" w:firstLine="0"/>
        <w:jc w:val="left"/>
      </w:pPr>
      <w:r>
        <w:rPr>
          <w:rStyle w:val="CharStyle22"/>
          <w:b/>
          <w:bCs/>
        </w:rPr>
        <w:t>Относительно первого довода Комиссия Управления установила следующее.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96" w:right="0" w:firstLine="0"/>
        <w:jc w:val="left"/>
      </w:pPr>
      <w:r>
        <w:rPr>
          <w:rStyle w:val="CharStyle22"/>
        </w:rPr>
        <w:t>Согласно извещению по закупке Заказчиком установлены следующий код позиции:</w:t>
      </w:r>
    </w:p>
    <w:tbl>
      <w:tblPr>
        <w:tblOverlap w:val="never"/>
        <w:jc w:val="center"/>
        <w:tblLayout w:type="fixed"/>
      </w:tblPr>
      <w:tblGrid>
        <w:gridCol w:w="1421"/>
        <w:gridCol w:w="6298"/>
        <w:gridCol w:w="2496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>ЕД. ИЗМЕРЕНИЯ</w:t>
            </w:r>
          </w:p>
        </w:tc>
      </w:tr>
      <w:tr>
        <w:trPr>
          <w:trHeight w:val="122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  <w:lang w:val="en-US" w:eastAsia="en-US"/>
              </w:rPr>
              <w:t>43.99.50.110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 xml:space="preserve">Выполнение работ по монтажу быстровозводимого сооружения «Ангар из металла. Шифр </w:t>
            </w:r>
            <w:r>
              <w:rPr>
                <w:rStyle w:val="CharStyle25"/>
                <w:sz w:val="20"/>
                <w:szCs w:val="20"/>
                <w:lang w:val="en-US" w:eastAsia="en-US"/>
              </w:rPr>
              <w:t>1808-2025»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 xml:space="preserve">Выполнение работ по монтажу быстровозводимого сооружения «Ангар из металла. Шифр </w:t>
            </w:r>
            <w:r>
              <w:rPr>
                <w:rStyle w:val="CharStyle25"/>
                <w:sz w:val="20"/>
                <w:szCs w:val="20"/>
                <w:lang w:val="en-US" w:eastAsia="en-US"/>
              </w:rPr>
              <w:t xml:space="preserve">1808-2025» </w:t>
            </w:r>
            <w:r>
              <w:rPr>
                <w:rStyle w:val="CharStyle25"/>
                <w:sz w:val="20"/>
                <w:szCs w:val="20"/>
              </w:rPr>
              <w:t>Описание объекта закупки приложено отдельным файлом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5"/>
                <w:sz w:val="20"/>
                <w:szCs w:val="20"/>
              </w:rPr>
              <w:t>Условная единица</w:t>
            </w: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>«Виды работ» Описания объекта закупки Заказчиком установлены следующие монтажные работы по сборке быстровозводимого ангар-гаража: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Планировка территории базы </w:t>
      </w:r>
      <w:r>
        <w:rPr>
          <w:rStyle w:val="CharStyle19"/>
          <w:lang w:val="en-US" w:eastAsia="en-US"/>
        </w:rPr>
        <w:t xml:space="preserve">– 700 </w:t>
      </w:r>
      <w:r>
        <w:rPr>
          <w:rStyle w:val="CharStyle19"/>
        </w:rPr>
        <w:t>м</w:t>
      </w:r>
      <w:r>
        <w:rPr>
          <w:rStyle w:val="CharStyle19"/>
          <w:vertAlign w:val="superscript"/>
        </w:rPr>
        <w:t>2</w:t>
      </w:r>
      <w:r>
        <w:rPr>
          <w:rStyle w:val="CharStyle19"/>
        </w:rPr>
        <w:t>;</w:t>
      </w:r>
    </w:p>
    <w:p>
      <w:pPr>
        <w:pStyle w:val="Style18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Уборка территории в мете монтажа ангар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гаража;</w:t>
      </w:r>
    </w:p>
    <w:p>
      <w:pPr>
        <w:pStyle w:val="Style18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2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Подсыпка щебня толщиной </w:t>
      </w:r>
      <w:r>
        <w:rPr>
          <w:rStyle w:val="CharStyle19"/>
          <w:lang w:val="en-US" w:eastAsia="en-US"/>
        </w:rPr>
        <w:t xml:space="preserve">50 </w:t>
      </w:r>
      <w:r>
        <w:rPr>
          <w:rStyle w:val="CharStyle19"/>
        </w:rPr>
        <w:t xml:space="preserve">мм </w:t>
      </w:r>
      <w:r>
        <w:rPr>
          <w:rStyle w:val="CharStyle19"/>
          <w:lang w:val="en-US" w:eastAsia="en-US"/>
        </w:rPr>
        <w:t xml:space="preserve">(15,4*2+31*2) *1=4,5 </w:t>
      </w:r>
      <w:r>
        <w:rPr>
          <w:rStyle w:val="CharStyle19"/>
        </w:rPr>
        <w:t>м</w:t>
      </w:r>
      <w:r>
        <w:rPr>
          <w:rStyle w:val="CharStyle19"/>
          <w:vertAlign w:val="superscript"/>
        </w:rPr>
        <w:t>3</w:t>
      </w:r>
      <w:r>
        <w:rPr>
          <w:rStyle w:val="CharStyle19"/>
        </w:rPr>
        <w:t xml:space="preserve"> и песка толщиной </w:t>
      </w:r>
      <w:r>
        <w:rPr>
          <w:rStyle w:val="CharStyle19"/>
          <w:lang w:val="en-US" w:eastAsia="en-US"/>
        </w:rPr>
        <w:t xml:space="preserve">50 </w:t>
      </w:r>
      <w:r>
        <w:rPr>
          <w:rStyle w:val="CharStyle19"/>
        </w:rPr>
        <w:t xml:space="preserve">мм </w:t>
      </w:r>
      <w:r>
        <w:rPr>
          <w:rStyle w:val="CharStyle19"/>
          <w:lang w:val="en-US" w:eastAsia="en-US"/>
        </w:rPr>
        <w:t xml:space="preserve">(15,4*2+31*2) *1= 4,5 </w:t>
      </w:r>
      <w:r>
        <w:rPr>
          <w:rStyle w:val="CharStyle19"/>
        </w:rPr>
        <w:t>м</w:t>
      </w:r>
      <w:r>
        <w:rPr>
          <w:rStyle w:val="CharStyle19"/>
          <w:vertAlign w:val="superscript"/>
        </w:rPr>
        <w:t>3</w:t>
      </w:r>
      <w:r>
        <w:rPr>
          <w:rStyle w:val="CharStyle19"/>
        </w:rPr>
        <w:t xml:space="preserve"> под основание и трамбовка основания под монтаж ангар </w:t>
      </w:r>
      <w:r>
        <w:rPr>
          <w:rStyle w:val="CharStyle19"/>
          <w:lang w:val="en-US" w:eastAsia="en-US"/>
        </w:rPr>
        <w:t>–гаража;</w:t>
      </w:r>
    </w:p>
    <w:p>
      <w:pPr>
        <w:pStyle w:val="Style18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194" w:val="left"/>
        </w:tabs>
        <w:bidi w:val="0"/>
        <w:spacing w:before="0" w:after="260" w:line="240" w:lineRule="auto"/>
        <w:ind w:left="0" w:right="0" w:firstLine="720"/>
        <w:jc w:val="left"/>
      </w:pPr>
      <w:r>
        <w:rPr>
          <w:rStyle w:val="CharStyle19"/>
        </w:rPr>
        <w:t xml:space="preserve">Выполнить геодезическую съемку места монтажа ангар гаража </w:t>
      </w:r>
      <w:r>
        <w:rPr>
          <w:rStyle w:val="CharStyle19"/>
          <w:lang w:val="en-US" w:eastAsia="en-US"/>
        </w:rPr>
        <w:t xml:space="preserve">– 700 </w:t>
      </w:r>
      <w:r>
        <w:rPr>
          <w:rStyle w:val="CharStyle19"/>
        </w:rPr>
        <w:t>м</w:t>
      </w:r>
      <w:r>
        <w:rPr>
          <w:rStyle w:val="CharStyle19"/>
          <w:vertAlign w:val="superscript"/>
        </w:rPr>
        <w:t>2</w:t>
      </w:r>
      <w:r>
        <w:rPr>
          <w:rStyle w:val="CharStyle19"/>
        </w:rPr>
        <w:t>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Монтаж ангар-гаража размером в плане </w:t>
      </w:r>
      <w:r>
        <w:rPr>
          <w:rStyle w:val="CharStyle19"/>
          <w:lang w:val="en-US" w:eastAsia="en-US"/>
        </w:rPr>
        <w:t xml:space="preserve">15,4 </w:t>
      </w:r>
      <w:r>
        <w:rPr>
          <w:rStyle w:val="CharStyle19"/>
        </w:rPr>
        <w:t xml:space="preserve">х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>м;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Подготовка площади внутри ангара, засыпка щебнем фракции </w:t>
      </w:r>
      <w:r>
        <w:rPr>
          <w:rStyle w:val="CharStyle19"/>
          <w:lang w:val="en-US" w:eastAsia="en-US"/>
        </w:rPr>
        <w:t xml:space="preserve">5-20 </w:t>
      </w:r>
      <w:r>
        <w:rPr>
          <w:rStyle w:val="CharStyle19"/>
        </w:rPr>
        <w:t xml:space="preserve">мм и выравнивание исходя из п </w:t>
      </w:r>
      <w:r>
        <w:rPr>
          <w:rStyle w:val="CharStyle19"/>
          <w:lang w:val="en-US" w:eastAsia="en-US"/>
        </w:rPr>
        <w:t xml:space="preserve">1.3 – 23,87 </w:t>
      </w:r>
      <w:r>
        <w:rPr>
          <w:rStyle w:val="CharStyle19"/>
        </w:rPr>
        <w:t>м</w:t>
      </w:r>
      <w:r>
        <w:rPr>
          <w:rStyle w:val="CharStyle19"/>
          <w:vertAlign w:val="superscript"/>
        </w:rPr>
        <w:t>3</w:t>
      </w:r>
      <w:r>
        <w:rPr>
          <w:rStyle w:val="CharStyle19"/>
        </w:rPr>
        <w:t>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Работы выполнить в соответствии проектом </w:t>
      </w:r>
      <w:r>
        <w:rPr>
          <w:rStyle w:val="CharStyle19"/>
          <w:lang w:val="en-US" w:eastAsia="en-US"/>
        </w:rPr>
        <w:t xml:space="preserve">1808-2025 – </w:t>
      </w:r>
      <w:r>
        <w:rPr>
          <w:rStyle w:val="CharStyle19"/>
        </w:rPr>
        <w:t xml:space="preserve">КМ, КМД, </w:t>
      </w:r>
      <w:r>
        <w:rPr>
          <w:rStyle w:val="CharStyle19"/>
          <w:lang w:val="en-US" w:eastAsia="en-US"/>
        </w:rPr>
        <w:t xml:space="preserve">1808-2025 – </w:t>
      </w:r>
      <w:r>
        <w:rPr>
          <w:rStyle w:val="CharStyle19"/>
        </w:rPr>
        <w:t>АС (Приложение к настоящему описанию объекта закупки).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10.2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Градостроительного кодекса Российской Федерации некапитальные строения, сооружения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строения, сооружения, которые не имеют прочной связи с землей и конструктивные характеристики которых позволяют осуществить их перемещение и (или) демонтаж и последующую сборку без несоразмерного ущерба назначению и без изменения основных характеристик строений, сооружений (в том числе киосков, навесов и других подобных строений, сооружений).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ОКПД2 </w:t>
      </w:r>
      <w:r>
        <w:rPr>
          <w:rStyle w:val="CharStyle19"/>
          <w:lang w:val="en-US" w:eastAsia="en-US"/>
        </w:rPr>
        <w:t xml:space="preserve">43.99.50.110 </w:t>
      </w:r>
      <w:r>
        <w:rPr>
          <w:rStyle w:val="CharStyle19"/>
        </w:rPr>
        <w:t>«Работы по монтажу стальных каркасов зданий, требующие специальной квалификации» Заказчиком установлен в связи с тем, что основная работа заключается в сборке стальных конструкций, в данном случае Ангара для производственных нужд, который не является объектом капитального строительства (недвижимым имуществом).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ОКПД2 </w:t>
      </w:r>
      <w:r>
        <w:rPr>
          <w:rStyle w:val="CharStyle19"/>
          <w:lang w:val="en-US" w:eastAsia="en-US"/>
        </w:rPr>
        <w:t xml:space="preserve">41.20.40 </w:t>
      </w:r>
      <w:r>
        <w:rPr>
          <w:rStyle w:val="CharStyle19"/>
        </w:rPr>
        <w:t>«Работы строительные по возведению нежилых зданий и сооружений» предлагаемый Заявителем, по группе работ не подходит Заказчику, так как в нем включен перечень строительных работ по возведению зданий разного (административного производственного, не производственного) назначения: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строительные работы по возведению складских и промышленных зданий (например, для производства), легких промышленных зданий и сельскохозяйственных зданий;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строительные работы по возведению торговых или административных зданий, таких как здания офисов, банков, конференц-залов, торговых центров, гаражей, заправочных станций и станций технического обслуживания, аэровокзалов, авто- и железнодорожных вокзалов (терминалов);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строительные работы по возведению общественных зданий для проведения зрелищных мероприятий, таких как кинотеатры, театры, концертные залы, танцевальные залы и ночные клубы;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6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строительные работы по возведению отелей, мотелей, гостиниц, общежитий ресторанов и зданий аналогичного назначения;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строительные работы по возведению зданий образовательных учреждений, таких как школы, колледжи, университеты, библиотеки, архивы и музеи;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строительные работы по возведению зданий учреждений здравоохранения, таких как больницы и санатории;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строительные работы по возведению зданий и сооружений для занятий спортом в закрытых помещениях или для отдыха (катки, гимнастические залы, закрытые теннисные корты, спортивные залы общего назначения, эллинги, боксерские ринги и т.д.);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строительные работы по возведению нежилых зданий, не включенных в другие группировки, таких как здания религиозного назначения и тюрьмы.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Эта группировка также включает: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работы по сохранению и воссозданию нежилых зданий, являющихся объектами культурного наследия, производимые в полном объеме.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Данный ОКПД2 </w:t>
      </w:r>
      <w:r>
        <w:rPr>
          <w:rStyle w:val="CharStyle19"/>
          <w:lang w:val="en-US" w:eastAsia="en-US"/>
        </w:rPr>
        <w:t xml:space="preserve">41.20.40 </w:t>
      </w:r>
      <w:r>
        <w:rPr>
          <w:rStyle w:val="CharStyle19"/>
        </w:rPr>
        <w:t>можно классифицировать, как капитальное строительство.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9"/>
        </w:rPr>
        <w:t xml:space="preserve">На основании вышеизложенного, Заказчиком при проведении закупочной процедуры правомерно применен ОКПД2 </w:t>
      </w:r>
      <w:r>
        <w:rPr>
          <w:rStyle w:val="CharStyle19"/>
          <w:lang w:val="en-US" w:eastAsia="en-US"/>
        </w:rPr>
        <w:t xml:space="preserve">43.99.50.110, </w:t>
      </w:r>
      <w:r>
        <w:rPr>
          <w:rStyle w:val="CharStyle19"/>
        </w:rPr>
        <w:t>в связи с чем, первый довод жалобы является необоснованным.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2" w:name="bookmark12"/>
      <w:r>
        <w:rPr>
          <w:rStyle w:val="CharStyle17"/>
          <w:b/>
          <w:bCs/>
        </w:rPr>
        <w:t>Относительно второго довода жалобы Комиссия Управления отмечает следующее.</w:t>
      </w:r>
      <w:bookmarkEnd w:id="1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7" w:right="537" w:bottom="1302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>Согласно извещению Заказчиком установлены следующие требования: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Единые требования к участникам закупок в соответствии с ч.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>№ 44-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ФЗ;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Требования к участникам закупок в соответствии с ч. </w:t>
      </w:r>
      <w:r>
        <w:rPr>
          <w:rStyle w:val="CharStyle19"/>
          <w:lang w:val="en-US" w:eastAsia="en-US"/>
        </w:rPr>
        <w:t xml:space="preserve">1.1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44-ФЗ;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Требования к участникам закупок в соответствии с ч.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44-ФЗ;</w:t>
      </w:r>
    </w:p>
    <w:p>
      <w:pPr>
        <w:pStyle w:val="Style18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Требования в соответствии с позицией </w:t>
      </w:r>
      <w:r>
        <w:rPr>
          <w:rStyle w:val="CharStyle19"/>
          <w:lang w:val="en-US" w:eastAsia="en-US"/>
        </w:rPr>
        <w:t xml:space="preserve">9 </w:t>
      </w:r>
      <w:r>
        <w:rPr>
          <w:rStyle w:val="CharStyle19"/>
        </w:rPr>
        <w:t xml:space="preserve">раздела </w:t>
      </w:r>
      <w:r>
        <w:rPr>
          <w:rStyle w:val="CharStyle19"/>
          <w:lang w:val="en-US" w:eastAsia="en-US"/>
        </w:rPr>
        <w:t xml:space="preserve">II </w:t>
      </w:r>
      <w:r>
        <w:rPr>
          <w:rStyle w:val="CharStyle19"/>
        </w:rPr>
        <w:t xml:space="preserve">приложения к ПП РФ от </w:t>
      </w:r>
      <w:r>
        <w:rPr>
          <w:rStyle w:val="CharStyle19"/>
          <w:lang w:val="en-US" w:eastAsia="en-US"/>
        </w:rPr>
        <w:t>29.12.2021 № 2571;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Наличие у участника закупки одного из следующих видов опыта выполнения работ: </w:t>
      </w:r>
      <w:r>
        <w:rPr>
          <w:rStyle w:val="CharStyle19"/>
          <w:lang w:val="en-US" w:eastAsia="en-US"/>
        </w:rPr>
        <w:t xml:space="preserve">1) </w:t>
      </w:r>
      <w:r>
        <w:rPr>
          <w:rStyle w:val="CharStyle19"/>
        </w:rPr>
        <w:t xml:space="preserve">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</w:t>
      </w:r>
      <w:r>
        <w:rPr>
          <w:rStyle w:val="CharStyle19"/>
          <w:lang w:val="en-US" w:eastAsia="en-US"/>
        </w:rPr>
        <w:t xml:space="preserve">2) </w:t>
      </w:r>
      <w:r>
        <w:rPr>
          <w:rStyle w:val="CharStyle19"/>
        </w:rPr>
        <w:t xml:space="preserve"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</w:t>
      </w:r>
      <w:r>
        <w:rPr>
          <w:rStyle w:val="CharStyle19"/>
          <w:lang w:val="en-US" w:eastAsia="en-US"/>
        </w:rPr>
        <w:t xml:space="preserve">3) </w:t>
      </w:r>
      <w:r>
        <w:rPr>
          <w:rStyle w:val="CharStyle19"/>
        </w:rPr>
        <w:t xml:space="preserve">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 Цена выполненных работ по договорам, предусмотренных пунктами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или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настоящей графы настоящей позиции, цена выполненных работ, предусмотренных пунктом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настоящей графы настоящей позиции, должна составлять не менее </w:t>
      </w:r>
      <w:r>
        <w:rPr>
          <w:rStyle w:val="CharStyle19"/>
          <w:lang w:val="en-US" w:eastAsia="en-US"/>
        </w:rPr>
        <w:t xml:space="preserve">20 </w:t>
      </w:r>
      <w:r>
        <w:rPr>
          <w:rStyle w:val="CharStyle19"/>
        </w:rPr>
        <w:t xml:space="preserve">процентов начальной (максимальной) цены контракта, заключаемого по результатам определения поставщика (подрядчика, исполнителя).Информация и документы, подтверждающие соответствие участников закупки дополнительным требованиям: в случае наличия опыта, предусмотренного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графы «Дополнительные требования к участникам закупки» настоящей позиции: </w:t>
      </w:r>
      <w:r>
        <w:rPr>
          <w:rStyle w:val="CharStyle19"/>
          <w:lang w:val="en-US" w:eastAsia="en-US"/>
        </w:rPr>
        <w:t xml:space="preserve">1) </w:t>
      </w:r>
      <w:r>
        <w:rPr>
          <w:rStyle w:val="CharStyle19"/>
        </w:rPr>
        <w:t xml:space="preserve">исполненный договор; </w:t>
      </w:r>
      <w:r>
        <w:rPr>
          <w:rStyle w:val="CharStyle19"/>
          <w:lang w:val="en-US" w:eastAsia="en-US"/>
        </w:rPr>
        <w:t xml:space="preserve">2) </w:t>
      </w:r>
      <w:r>
        <w:rPr>
          <w:rStyle w:val="CharStyle19"/>
        </w:rPr>
        <w:t xml:space="preserve">акт выполненных работ, подтверждающий цену выполненных работ. В случае наличия опыта, предусмотренного пунктом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графы «Дополнительные требования к участникам закупки» настоящей позиции: </w:t>
      </w:r>
      <w:r>
        <w:rPr>
          <w:rStyle w:val="CharStyle19"/>
          <w:lang w:val="en-US" w:eastAsia="en-US"/>
        </w:rPr>
        <w:t xml:space="preserve">1) </w:t>
      </w:r>
      <w:r>
        <w:rPr>
          <w:rStyle w:val="CharStyle19"/>
        </w:rPr>
        <w:t xml:space="preserve">исполненный договор; </w:t>
      </w:r>
      <w:r>
        <w:rPr>
          <w:rStyle w:val="CharStyle19"/>
          <w:lang w:val="en-US" w:eastAsia="en-US"/>
        </w:rPr>
        <w:t xml:space="preserve">2) </w:t>
      </w:r>
      <w:r>
        <w:rPr>
          <w:rStyle w:val="CharStyle19"/>
        </w:rPr>
        <w:t xml:space="preserve"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</w:t>
      </w:r>
      <w:r>
        <w:rPr>
          <w:rStyle w:val="CharStyle19"/>
          <w:lang w:val="en-US" w:eastAsia="en-US"/>
        </w:rPr>
        <w:t xml:space="preserve">3) </w:t>
      </w:r>
      <w:r>
        <w:rPr>
          <w:rStyle w:val="CharStyle19"/>
        </w:rPr>
        <w:t xml:space="preserve">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 В случае наличия опыта, предусмотренного пунктом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графы «Дополнительные требования к участникам закупки» настоящей позиции: </w:t>
      </w:r>
      <w:r>
        <w:rPr>
          <w:rStyle w:val="CharStyle19"/>
          <w:lang w:val="en-US" w:eastAsia="en-US"/>
        </w:rPr>
        <w:t xml:space="preserve">1) </w:t>
      </w:r>
      <w:r>
        <w:rPr>
          <w:rStyle w:val="CharStyle19"/>
        </w:rPr>
        <w:t xml:space="preserve">раздел «Смета на строительство, реконструкцию, капитальный ремонт, снос объекта капитального строительства» проектной документации; </w:t>
      </w:r>
      <w:r>
        <w:rPr>
          <w:rStyle w:val="CharStyle19"/>
          <w:lang w:val="en-US" w:eastAsia="en-US"/>
        </w:rPr>
        <w:t xml:space="preserve">2) </w:t>
      </w:r>
      <w:r>
        <w:rPr>
          <w:rStyle w:val="CharStyle19"/>
        </w:rPr>
        <w:t>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>Закона о контрактной системе Правительство Российской Федерации вправе устанавливать к участникам закупок отдельных видов товаров, работ, услуг участникам отдельных видов закупок дополнительные требования, в том числе к наличию: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финансовых ресурсов для исполнения контракта;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опыта работы, связанного с предметом контракта, и деловой репутации;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72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512" w:left="1106" w:header="682" w:footer="84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 xml:space="preserve">Согласно позиции </w:t>
      </w:r>
      <w:r>
        <w:rPr>
          <w:rStyle w:val="CharStyle19"/>
          <w:lang w:val="en-US" w:eastAsia="en-US"/>
        </w:rPr>
        <w:t xml:space="preserve">9 </w:t>
      </w:r>
      <w:r>
        <w:rPr>
          <w:rStyle w:val="CharStyle19"/>
        </w:rPr>
        <w:t xml:space="preserve">раздела </w:t>
      </w:r>
      <w:r>
        <w:rPr>
          <w:rStyle w:val="CharStyle19"/>
          <w:lang w:val="en-US" w:eastAsia="en-US"/>
        </w:rPr>
        <w:t xml:space="preserve">II </w:t>
      </w:r>
      <w:r>
        <w:rPr>
          <w:rStyle w:val="CharStyle19"/>
        </w:rPr>
        <w:t xml:space="preserve">приложения к Постановлению Правительства от </w:t>
      </w:r>
      <w:r>
        <w:rPr>
          <w:rStyle w:val="CharStyle19"/>
          <w:lang w:val="en-US" w:eastAsia="en-US"/>
        </w:rPr>
        <w:t xml:space="preserve">29 </w:t>
      </w:r>
      <w:r>
        <w:rPr>
          <w:rStyle w:val="CharStyle19"/>
        </w:rPr>
        <w:t xml:space="preserve">декабря </w:t>
      </w:r>
      <w:r>
        <w:rPr>
          <w:rStyle w:val="CharStyle19"/>
          <w:lang w:val="en-US" w:eastAsia="en-US"/>
        </w:rPr>
        <w:t xml:space="preserve">2021 </w:t>
      </w:r>
      <w:r>
        <w:rPr>
          <w:rStyle w:val="CharStyle19"/>
        </w:rPr>
        <w:t xml:space="preserve">г. </w:t>
      </w:r>
      <w:r>
        <w:rPr>
          <w:rStyle w:val="CharStyle19"/>
          <w:lang w:val="en-US" w:eastAsia="en-US"/>
        </w:rPr>
        <w:t xml:space="preserve">№ 2571 </w:t>
      </w:r>
      <w:r>
        <w:rPr>
          <w:rStyle w:val="CharStyle19"/>
        </w:rPr>
        <w:t xml:space="preserve">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</w:t>
      </w:r>
      <w:r>
        <w:rPr>
          <w:rStyle w:val="CharStyle19"/>
          <w:lang w:val="en-US" w:eastAsia="en-US"/>
        </w:rPr>
        <w:t>2026-3352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2"/>
        </w:rPr>
        <w:t>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установлено следующее:</w:t>
      </w:r>
    </w:p>
    <w:tbl>
      <w:tblPr>
        <w:tblOverlap w:val="never"/>
        <w:jc w:val="center"/>
        <w:tblLayout w:type="fixed"/>
      </w:tblPr>
      <w:tblGrid>
        <w:gridCol w:w="250"/>
        <w:gridCol w:w="2045"/>
        <w:gridCol w:w="3062"/>
        <w:gridCol w:w="4853"/>
      </w:tblGrid>
      <w:tr>
        <w:trPr>
          <w:trHeight w:val="14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Наименование отдельных видов товаров, работ, услуг, являющихся объектом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Дополнительные требования к участникам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Информация и документы, подтверждающие соответствие участников закупки дополнительным требованиям</w:t>
            </w:r>
          </w:p>
        </w:tc>
      </w:tr>
      <w:tr>
        <w:trPr>
          <w:trHeight w:val="119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  <w:lang w:val="en-US" w:eastAsia="en-US"/>
              </w:rPr>
              <w:t>9.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Работы по строительству некапитального строения, сооружения (строений, сооружений), благоустройству территории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30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наличие у участника закупки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 xml:space="preserve">следующего опыта выполнения работ: </w:t>
            </w:r>
            <w:r>
              <w:rPr>
                <w:rStyle w:val="CharStyle25"/>
                <w:lang w:val="en-US" w:eastAsia="en-US"/>
              </w:rPr>
              <w:t xml:space="preserve">1) </w:t>
            </w:r>
            <w:r>
              <w:rPr>
                <w:rStyle w:val="CharStyle25"/>
              </w:rPr>
              <w:t xml:space="preserve">опыт исполнения договора, предусматривающего выполнение работ по строительству </w:t>
            </w:r>
            <w:r>
              <w:rPr>
                <w:rStyle w:val="CharStyle25"/>
                <w:u w:val="single"/>
              </w:rPr>
              <w:t>некапитального</w:t>
            </w:r>
            <w:r>
              <w:rPr>
                <w:rStyle w:val="CharStyle25"/>
              </w:rPr>
              <w:t xml:space="preserve"> строения, сооружения (строений, сооружений), благоустройству территории; </w:t>
            </w:r>
            <w:r>
              <w:rPr>
                <w:rStyle w:val="CharStyle25"/>
                <w:lang w:val="en-US" w:eastAsia="en-US"/>
              </w:rPr>
              <w:t xml:space="preserve">2) </w:t>
            </w:r>
            <w:r>
              <w:rPr>
                <w:rStyle w:val="CharStyle25"/>
              </w:rPr>
              <w:t>опыт исполнения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 xml:space="preserve">договора строительного подряда, предусматривающего выполнение работ по строительству, реконструкции объекта </w:t>
            </w:r>
            <w:r>
              <w:rPr>
                <w:rStyle w:val="CharStyle25"/>
                <w:u w:val="single"/>
              </w:rPr>
              <w:t xml:space="preserve">капитального </w:t>
            </w:r>
            <w:r>
              <w:rPr>
                <w:rStyle w:val="CharStyle25"/>
              </w:rPr>
              <w:t>строительства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 xml:space="preserve">(в том числе линейного объекта); </w:t>
            </w:r>
            <w:r>
              <w:rPr>
                <w:rStyle w:val="CharStyle25"/>
                <w:lang w:val="en-US" w:eastAsia="en-US"/>
              </w:rPr>
              <w:t xml:space="preserve">3) </w:t>
            </w:r>
            <w:r>
              <w:rPr>
                <w:rStyle w:val="CharStyle25"/>
              </w:rPr>
              <w:t>опыт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 xml:space="preserve">выполнения участником закупки, являющимся застройщиком, работ по строительству, реконструкции объекта </w:t>
            </w:r>
            <w:r>
              <w:rPr>
                <w:rStyle w:val="CharStyle25"/>
                <w:u w:val="single"/>
              </w:rPr>
              <w:t xml:space="preserve">капитального </w:t>
            </w:r>
            <w:r>
              <w:rPr>
                <w:rStyle w:val="CharStyle25"/>
              </w:rPr>
              <w:t>строительства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(в том числе линейного объекта).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Цена выполненных работ по договорам, предусмотренных</w:t>
            </w:r>
            <w:r>
              <w:fldChar w:fldCharType="begin"/>
            </w:r>
            <w:r>
              <w:rPr/>
              <w:instrText> HYPERLINK "https://www.garant.ru/products/ipo/prime/doc/403235623/%231091" </w:instrText>
            </w:r>
            <w:r>
              <w:fldChar w:fldCharType="separate"/>
            </w:r>
            <w:r>
              <w:rPr>
                <w:rStyle w:val="CharStyle25"/>
              </w:rPr>
              <w:t xml:space="preserve"> </w:t>
            </w:r>
            <w:r>
              <w:rPr>
                <w:rStyle w:val="CharStyle25"/>
                <w:color w:val="000001"/>
                <w:u w:val="single"/>
              </w:rPr>
              <w:t>пунктами</w:t>
            </w:r>
            <w:r>
              <w:fldChar w:fldCharType="end"/>
            </w:r>
            <w:r>
              <w:rPr>
                <w:rStyle w:val="CharStyle25"/>
                <w:color w:val="000001"/>
                <w:u w:val="single"/>
              </w:rPr>
              <w:t xml:space="preserve"> </w:t>
            </w:r>
            <w:r>
              <w:fldChar w:fldCharType="begin"/>
            </w:r>
            <w:r>
              <w:rPr/>
              <w:instrText> HYPERLINK "https://www.garant.ru/products/ipo/prime/doc/403235623/%231091" </w:instrText>
            </w:r>
            <w:r>
              <w:fldChar w:fldCharType="separate"/>
            </w:r>
            <w:r>
              <w:rPr>
                <w:rStyle w:val="CharStyle25"/>
                <w:color w:val="000001"/>
                <w:u w:val="single"/>
                <w:lang w:val="en-US" w:eastAsia="en-US"/>
              </w:rPr>
              <w:t>1</w:t>
            </w:r>
            <w:r>
              <w:rPr>
                <w:rStyle w:val="CharStyle25"/>
                <w:color w:val="000001"/>
                <w:lang w:val="en-US" w:eastAsia="en-US"/>
              </w:rPr>
              <w:t xml:space="preserve"> </w:t>
            </w:r>
            <w:r>
              <w:fldChar w:fldCharType="end"/>
            </w:r>
            <w:r>
              <w:rPr>
                <w:rStyle w:val="CharStyle25"/>
              </w:rPr>
              <w:t>и</w:t>
            </w:r>
            <w:r>
              <w:fldChar w:fldCharType="begin"/>
            </w:r>
            <w:r>
              <w:rPr/>
              <w:instrText> HYPERLINK "https://www.garant.ru/products/ipo/prime/doc/403235623/%231092" </w:instrText>
            </w:r>
            <w:r>
              <w:fldChar w:fldCharType="separate"/>
            </w:r>
            <w:r>
              <w:rPr>
                <w:rStyle w:val="CharStyle25"/>
              </w:rPr>
              <w:t xml:space="preserve"> </w:t>
            </w:r>
            <w:r>
              <w:rPr>
                <w:rStyle w:val="CharStyle25"/>
                <w:color w:val="000001"/>
                <w:u w:val="single"/>
                <w:lang w:val="en-US" w:eastAsia="en-US"/>
              </w:rPr>
              <w:t>2</w:t>
            </w:r>
            <w:r>
              <w:rPr>
                <w:rStyle w:val="CharStyle25"/>
                <w:color w:val="000001"/>
                <w:lang w:val="en-US" w:eastAsia="en-US"/>
              </w:rPr>
              <w:t xml:space="preserve"> </w:t>
            </w:r>
            <w:r>
              <w:fldChar w:fldCharType="end"/>
            </w:r>
            <w:r>
              <w:rPr>
                <w:rStyle w:val="CharStyle25"/>
              </w:rPr>
              <w:t xml:space="preserve">настоящей графы настоящей позиции, цена выполненных работ, предусмотренных пунктом </w:t>
            </w:r>
            <w:r>
              <w:rPr>
                <w:rStyle w:val="CharStyle25"/>
                <w:lang w:val="en-US" w:eastAsia="en-US"/>
              </w:rPr>
              <w:t xml:space="preserve">3 </w:t>
            </w:r>
            <w:r>
              <w:rPr>
                <w:rStyle w:val="CharStyle25"/>
              </w:rPr>
              <w:t xml:space="preserve">настоящей графы настоящей позиции, должна составлять не менее </w:t>
            </w:r>
            <w:r>
              <w:rPr>
                <w:rStyle w:val="CharStyle25"/>
                <w:lang w:val="en-US" w:eastAsia="en-US"/>
              </w:rPr>
              <w:t xml:space="preserve">20 </w:t>
            </w:r>
            <w:r>
              <w:rPr>
                <w:rStyle w:val="CharStyle25"/>
              </w:rPr>
              <w:t>процентов начальной (максимальной)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 xml:space="preserve">в случае наличия опыта, предусмотренного </w:t>
            </w:r>
            <w:r>
              <w:fldChar w:fldCharType="begin"/>
            </w:r>
            <w:r>
              <w:rPr/>
              <w:instrText> HYPERLINK "https://www.garant.ru/products/ipo/prime/doc/403235623/%231091" </w:instrText>
            </w:r>
            <w:r>
              <w:fldChar w:fldCharType="separate"/>
            </w:r>
            <w:r>
              <w:rPr>
                <w:rStyle w:val="CharStyle25"/>
                <w:color w:val="000001"/>
                <w:u w:val="single"/>
              </w:rPr>
              <w:t xml:space="preserve">пунктом </w:t>
            </w:r>
            <w:r>
              <w:rPr>
                <w:rStyle w:val="CharStyle25"/>
                <w:color w:val="000001"/>
                <w:u w:val="single"/>
                <w:lang w:val="en-US" w:eastAsia="en-US"/>
              </w:rPr>
              <w:t>1</w:t>
            </w:r>
            <w:r>
              <w:rPr>
                <w:rStyle w:val="CharStyle25"/>
                <w:color w:val="000001"/>
                <w:lang w:val="en-US" w:eastAsia="en-US"/>
              </w:rPr>
              <w:t xml:space="preserve"> </w:t>
            </w:r>
            <w:r>
              <w:fldChar w:fldCharType="end"/>
            </w:r>
            <w:r>
              <w:rPr>
                <w:rStyle w:val="CharStyle25"/>
              </w:rPr>
              <w:t>графы «Дополнительные требования к участникам закупки»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настоящей позиции:</w:t>
            </w:r>
          </w:p>
          <w:p>
            <w:pPr>
              <w:pStyle w:val="Style24"/>
              <w:keepNext w:val="0"/>
              <w:keepLines w:val="0"/>
              <w:widowControl w:val="0"/>
              <w:numPr>
                <w:ilvl w:val="0"/>
                <w:numId w:val="13"/>
              </w:numPr>
              <w:shd w:val="clear" w:color="auto" w:fill="auto"/>
              <w:tabs>
                <w:tab w:pos="235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исполненный договор;</w:t>
            </w:r>
          </w:p>
          <w:p>
            <w:pPr>
              <w:pStyle w:val="Style24"/>
              <w:keepNext w:val="0"/>
              <w:keepLines w:val="0"/>
              <w:widowControl w:val="0"/>
              <w:numPr>
                <w:ilvl w:val="0"/>
                <w:numId w:val="13"/>
              </w:numPr>
              <w:shd w:val="clear" w:color="auto" w:fill="auto"/>
              <w:tabs>
                <w:tab w:pos="235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акт выполненных работ, подтверждающий цену выполненных работ.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 xml:space="preserve">В случае наличия опыта, предусмотренного </w:t>
            </w:r>
            <w:r>
              <w:fldChar w:fldCharType="begin"/>
            </w:r>
            <w:r>
              <w:rPr/>
              <w:instrText> HYPERLINK "https://www.garant.ru/products/ipo/prime/doc/403235623/%231092" </w:instrText>
            </w:r>
            <w:r>
              <w:fldChar w:fldCharType="separate"/>
            </w:r>
            <w:r>
              <w:rPr>
                <w:rStyle w:val="CharStyle25"/>
                <w:color w:val="000001"/>
                <w:u w:val="single"/>
              </w:rPr>
              <w:t xml:space="preserve">пунктом </w:t>
            </w:r>
            <w:r>
              <w:rPr>
                <w:rStyle w:val="CharStyle25"/>
                <w:color w:val="000001"/>
                <w:u w:val="single"/>
                <w:lang w:val="en-US" w:eastAsia="en-US"/>
              </w:rPr>
              <w:t>2</w:t>
            </w:r>
            <w:r>
              <w:rPr>
                <w:rStyle w:val="CharStyle25"/>
                <w:color w:val="000001"/>
                <w:lang w:val="en-US" w:eastAsia="en-US"/>
              </w:rPr>
              <w:t xml:space="preserve"> </w:t>
            </w:r>
            <w:r>
              <w:fldChar w:fldCharType="end"/>
            </w:r>
            <w:r>
              <w:rPr>
                <w:rStyle w:val="CharStyle25"/>
              </w:rPr>
              <w:t>графы «Дополнительные требования к участникам закупки» настоящей позиции:</w:t>
            </w:r>
          </w:p>
          <w:p>
            <w:pPr>
              <w:pStyle w:val="Style24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235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исполненный договор;</w:t>
            </w:r>
          </w:p>
          <w:p>
            <w:pPr>
              <w:pStyle w:val="Style24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235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      </w:r>
          </w:p>
          <w:p>
            <w:pPr>
              <w:pStyle w:val="Style24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235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 xml:space="preserve">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</w:t>
            </w:r>
            <w:r>
              <w:fldChar w:fldCharType="begin"/>
            </w:r>
            <w:r>
              <w:rPr/>
              <w:instrText> HYPERLINK "https://www.garant.ru/products/ipo/prime/doc/403235623/%231093" </w:instrText>
            </w:r>
            <w:r>
              <w:fldChar w:fldCharType="separate"/>
            </w:r>
            <w:r>
              <w:rPr>
                <w:rStyle w:val="CharStyle25"/>
                <w:color w:val="000001"/>
                <w:u w:val="single"/>
              </w:rPr>
              <w:t xml:space="preserve">пунктом </w:t>
            </w:r>
            <w:r>
              <w:rPr>
                <w:rStyle w:val="CharStyle25"/>
                <w:color w:val="000001"/>
                <w:u w:val="single"/>
                <w:lang w:val="en-US" w:eastAsia="en-US"/>
              </w:rPr>
              <w:t>3</w:t>
            </w:r>
            <w:r>
              <w:rPr>
                <w:rStyle w:val="CharStyle25"/>
                <w:color w:val="000001"/>
                <w:lang w:val="en-US" w:eastAsia="en-US"/>
              </w:rPr>
              <w:t xml:space="preserve"> </w:t>
            </w:r>
            <w:r>
              <w:fldChar w:fldCharType="end"/>
            </w:r>
            <w:r>
              <w:rPr>
                <w:rStyle w:val="CharStyle25"/>
              </w:rPr>
              <w:t>графы «Дополнительные требования к участникам закупки»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настоящей позиции:</w:t>
            </w:r>
          </w:p>
          <w:p>
            <w:pPr>
              <w:pStyle w:val="Style24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25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 xml:space="preserve">раздел </w:t>
            </w:r>
            <w:r>
              <w:rPr>
                <w:rStyle w:val="CharStyle25"/>
                <w:lang w:val="en-US" w:eastAsia="en-US"/>
              </w:rPr>
              <w:t xml:space="preserve">11 </w:t>
            </w:r>
            <w:r>
              <w:rPr>
                <w:rStyle w:val="CharStyle25"/>
              </w:rPr>
              <w:t>«Смета на строительство объектов капитального строительства» проектной документации;</w:t>
            </w:r>
          </w:p>
          <w:p>
            <w:pPr>
              <w:pStyle w:val="Style24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25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250"/>
        <w:gridCol w:w="2045"/>
        <w:gridCol w:w="3062"/>
        <w:gridCol w:w="4853"/>
      </w:tblGrid>
      <w:tr>
        <w:trPr>
          <w:trHeight w:val="14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цены контракта, заключаемого по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результатам определения поставщика (подрядчика, исполнителя)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Ввиду того, что металлический ангар не является объектом капитального строительства (недвижимым имуществом) Заказчиком правомерно установлены требования по закупке работ по сборке некапитального строения, сооружения (строений, сооружений).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В части квалификации данных монтажных работ, как работы по текущему ремонту, Комиссия Управления отмечает, что при текущем ремонте Заказчиком передается весь состав работ (или части работ) Подрядчику вместе с материалами для проведения такого текущего ремонта. В данном случае, Заказчик передает подрядчику комплект готового ангара для сборки (монтажа).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9"/>
        </w:rPr>
        <w:t>На основании вышеизложенного, второй довод является необоснованным.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4" w:name="bookmark14"/>
      <w:r>
        <w:rPr>
          <w:rStyle w:val="CharStyle17"/>
          <w:b/>
          <w:bCs/>
        </w:rPr>
        <w:t>Относительно третьего довода жалобы Комиссия Управления отмечает следующее.</w:t>
      </w:r>
      <w:bookmarkEnd w:id="1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Закона о контрактной системе Заказчик в случаях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8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8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сопровождение такого указания словами «или эквивалент»;</w:t>
      </w:r>
    </w:p>
    <w:p>
      <w:pPr>
        <w:pStyle w:val="Style18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8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8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8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описание объекта закупки в соответствии со статьей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настоящего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Описания объекта закупки Заказчиком установлен размер ангара </w:t>
      </w:r>
      <w:r>
        <w:rPr>
          <w:rStyle w:val="CharStyle19"/>
          <w:lang w:val="en-US" w:eastAsia="en-US"/>
        </w:rPr>
        <w:t xml:space="preserve">15,4 </w:t>
      </w:r>
      <w:r>
        <w:rPr>
          <w:rStyle w:val="CharStyle19"/>
        </w:rPr>
        <w:t xml:space="preserve">х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>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Однако согласно проектной документации (шифры </w:t>
      </w:r>
      <w:r>
        <w:rPr>
          <w:rStyle w:val="CharStyle19"/>
          <w:lang w:val="en-US" w:eastAsia="en-US"/>
        </w:rPr>
        <w:t xml:space="preserve">1808-2025 – </w:t>
      </w:r>
      <w:r>
        <w:rPr>
          <w:rStyle w:val="CharStyle19"/>
        </w:rPr>
        <w:t xml:space="preserve">КМ, КМД, </w:t>
      </w:r>
      <w:r>
        <w:rPr>
          <w:rStyle w:val="CharStyle19"/>
          <w:lang w:val="en-US" w:eastAsia="en-US"/>
        </w:rPr>
        <w:t xml:space="preserve">1808-2025 – </w:t>
      </w:r>
      <w:r>
        <w:rPr>
          <w:rStyle w:val="CharStyle19"/>
        </w:rPr>
        <w:t xml:space="preserve">АС) размер ангара составляет 15.4м 30м </w:t>
      </w:r>
      <w:r>
        <w:rPr>
          <w:rStyle w:val="CharStyle19"/>
          <w:lang w:val="en-US" w:eastAsia="en-US"/>
        </w:rPr>
        <w:t xml:space="preserve">x 6,3 </w:t>
      </w:r>
      <w:r>
        <w:rPr>
          <w:rStyle w:val="CharStyle19"/>
        </w:rPr>
        <w:t>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Таким образом, в документации о закупке Комиссией Управления выявлено разночтение в отношении параметра объекта закупки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размера ангара, в связи с чем, в действиях Заказчика выявлено нарушение положений пункта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33, </w:t>
      </w:r>
      <w:r>
        <w:rPr>
          <w:rStyle w:val="CharStyle19"/>
        </w:rPr>
        <w:t xml:space="preserve">пункта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>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9"/>
        </w:rPr>
        <w:t>На основании вышеизложенного, третий довод жалобы является обоснованным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6" w:name="bookmark16"/>
      <w:r>
        <w:rPr>
          <w:rStyle w:val="CharStyle17"/>
          <w:b/>
          <w:bCs/>
        </w:rPr>
        <w:t>Относительно четвертого довода жалобы Комиссия Управления отмечает следующее.</w:t>
      </w:r>
      <w:bookmarkEnd w:id="1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7 </w:t>
      </w:r>
      <w:r>
        <w:rPr>
          <w:rStyle w:val="CharStyle19"/>
        </w:rPr>
        <w:t xml:space="preserve">«Материал Заказчика и Подрядчика» Описания объекта закупки материал, поставляемый Подрядчиком: Песок строительный, щебень фракции </w:t>
      </w:r>
      <w:r>
        <w:rPr>
          <w:rStyle w:val="CharStyle19"/>
          <w:lang w:val="en-US" w:eastAsia="en-US"/>
        </w:rPr>
        <w:t xml:space="preserve">5-20 </w:t>
      </w:r>
      <w:r>
        <w:rPr>
          <w:rStyle w:val="CharStyle19"/>
        </w:rPr>
        <w:t>мм, цемент марки М400.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8 </w:t>
      </w:r>
      <w:r>
        <w:rPr>
          <w:rStyle w:val="CharStyle19"/>
        </w:rPr>
        <w:t>«Технические требования к материалам» Описания объекта закупки применяемые материалы до их приобретения должны быть согласованы с Заказчиком. Качество материалов должно соответствовать ГОСТам, ТУ (стандартам и техническим условиям производителя товара, и требованиям Заказчика), как отдельные комплектующие так изделия в сборе.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Используемые Подрядчиком материалы должны удостоверяться сертификатом соответствия или декларацией соответствия с предоставлением протоколов испытаний в аккредитованных испытательных лабораториях.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Данные технические требования не распространяются на материал, предоставляемый заказчиком.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Однако в отношении песка строительного не указан его тип и иные параметры, регламентированные ГОСТ </w:t>
      </w:r>
      <w:r>
        <w:rPr>
          <w:rStyle w:val="CharStyle19"/>
          <w:lang w:val="en-US" w:eastAsia="en-US"/>
        </w:rPr>
        <w:t xml:space="preserve">8736-2014. </w:t>
      </w:r>
      <w:r>
        <w:rPr>
          <w:rStyle w:val="CharStyle19"/>
        </w:rPr>
        <w:t xml:space="preserve">В отношении щебня фракции </w:t>
      </w:r>
      <w:r>
        <w:rPr>
          <w:rStyle w:val="CharStyle19"/>
          <w:lang w:val="en-US" w:eastAsia="en-US"/>
        </w:rPr>
        <w:t xml:space="preserve">5-20 </w:t>
      </w:r>
      <w:r>
        <w:rPr>
          <w:rStyle w:val="CharStyle19"/>
        </w:rPr>
        <w:t xml:space="preserve">мм Заказчиком не установлены требования к таким характеристикам, как марка по прочности (дробимости), марка по морозостойкости </w:t>
      </w:r>
      <w:r>
        <w:rPr>
          <w:rStyle w:val="CharStyle19"/>
          <w:lang w:val="en-US" w:eastAsia="en-US"/>
        </w:rPr>
        <w:t xml:space="preserve">(F), </w:t>
      </w:r>
      <w:r>
        <w:rPr>
          <w:rStyle w:val="CharStyle19"/>
        </w:rPr>
        <w:t xml:space="preserve">что предусмотрено ГОСТ </w:t>
      </w:r>
      <w:r>
        <w:rPr>
          <w:rStyle w:val="CharStyle19"/>
          <w:lang w:val="en-US" w:eastAsia="en-US"/>
        </w:rPr>
        <w:t>8267-93.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Таким образом, отсутствие указанных показателей делает невозможным определение соответствия поставляемого товара потребностям Заказчика не позволяет потенциальным участникам закупки сделать свое ценовое предложение, поскольку песок и щебень разных марок имеют соответственно, разную стоимость, в связи с чем, в действиях Заказчика выявлено нарушение положения 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9"/>
        </w:rPr>
        <w:t>На основании вышеизложенного, четвертый довод жалобы является обоснованным.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8" w:name="bookmark18"/>
      <w:r>
        <w:rPr>
          <w:rStyle w:val="CharStyle17"/>
          <w:b/>
          <w:bCs/>
        </w:rPr>
        <w:t>Относительно пятого довода жалобы Комиссия Управления отмечает следующее.</w:t>
      </w:r>
      <w:bookmarkEnd w:id="1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8 </w:t>
      </w:r>
      <w:r>
        <w:rPr>
          <w:rStyle w:val="CharStyle19"/>
        </w:rPr>
        <w:t xml:space="preserve">«Технические требования к материалам» Описания объекта закупки применяемые </w:t>
      </w:r>
      <w:r>
        <w:rPr>
          <w:rStyle w:val="CharStyle19"/>
          <w:u w:val="single"/>
        </w:rPr>
        <w:t>материалы до их приобретения должны быть согласованы</w:t>
      </w:r>
      <w:r>
        <w:rPr>
          <w:rStyle w:val="CharStyle19"/>
        </w:rPr>
        <w:t xml:space="preserve"> с Заказчиком. Качество материалов должно соответствовать ГОСТам, ТУ (стандартам и техническим условиям производителя товара, и требованиям Заказчика), как отдельные комплектующие так изделия в сборе.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2.3.6 </w:t>
      </w:r>
      <w:r>
        <w:rPr>
          <w:rStyle w:val="CharStyle19"/>
        </w:rPr>
        <w:t xml:space="preserve">проекта контракта Заказчик вправе использовать при выполнении работ только новые, не бывшие в употреблении материалы. «Подрядчик» несет ответственность за ненадлежащее качество предоставленных им материалов, а также за предоставление материалов, обремененных правами третьих лиц. </w:t>
      </w:r>
      <w:r>
        <w:rPr>
          <w:rStyle w:val="CharStyle19"/>
          <w:u w:val="single"/>
        </w:rPr>
        <w:t>Качество, цвет и другие характеристики оборудования</w:t>
      </w:r>
      <w:r>
        <w:rPr>
          <w:rStyle w:val="CharStyle19"/>
        </w:rPr>
        <w:t xml:space="preserve"> и материалов (в том числе при замене на эквивалент или на улучшенные по сравнению с качеством и соответствующими техническими и функциональными характеристиками, указанными в описании объекта закупки используемых «Подрядчиком» </w:t>
      </w:r>
      <w:r>
        <w:rPr>
          <w:rStyle w:val="CharStyle19"/>
          <w:u w:val="single"/>
        </w:rPr>
        <w:t>при выполнении работ, должны быть согласованы с «Заказчиком» в письменном виде</w:t>
      </w:r>
      <w:r>
        <w:rPr>
          <w:rStyle w:val="CharStyle19"/>
        </w:rPr>
        <w:t>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Таким образом, Заказчиком установлено требование о согласовании в том числе, оборудования.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9"/>
        </w:rPr>
        <w:t>На заседании Комиссии Управления установлено, что требование Заказчика о согласовании Подрядчиком оборудования и материалов для выполнения работ является неправомерным, поскольку данное требование не соответствует положениям Закона о контрактной системе и может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привести к невозможности исполнения Подрядчиком контракта.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Кроме того, установление указанного требования ставит Подрядчика в зависимость от волеизъявления Заказчика.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Комиссия Управления отмечает, что Законодательство о контрактной системе относится к сфере публичных правоотношений, следовательно, действует принцип запрещено все, что не разрешено. Закон не содержит императивных норм, обязывающих Заказчика и/или дающих ему право устанавливать требование о согласовании оборудования или материалов, следовательно, поскольку Законодательством такой обязанности и/или права не предусмотрено, то, указание такого требования в извещении неправомерно.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части </w:t>
      </w:r>
      <w:r>
        <w:rPr>
          <w:rStyle w:val="CharStyle19"/>
          <w:lang w:val="en-US" w:eastAsia="en-US"/>
        </w:rPr>
        <w:t xml:space="preserve">6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>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Таким образом, установленное, не предусмотренное Законодательством требование, является прямым нарушением части </w:t>
      </w:r>
      <w:r>
        <w:rPr>
          <w:rStyle w:val="CharStyle19"/>
          <w:lang w:val="en-US" w:eastAsia="en-US"/>
        </w:rPr>
        <w:t xml:space="preserve">6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>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9"/>
        </w:rPr>
        <w:t xml:space="preserve">На основании вышеизложенного, Комиссия Управления приходит к выводу, что вышеуказанные действия Заказчика нарушают часть </w:t>
      </w:r>
      <w:r>
        <w:rPr>
          <w:rStyle w:val="CharStyle19"/>
          <w:lang w:val="en-US" w:eastAsia="en-US"/>
        </w:rPr>
        <w:t xml:space="preserve">6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31, </w:t>
      </w:r>
      <w:r>
        <w:rPr>
          <w:rStyle w:val="CharStyle19"/>
        </w:rPr>
        <w:t xml:space="preserve">пункт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>Закона о контрактной системе, в связи с чем, пятый довод жалобы является обоснованным.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20" w:name="bookmark20"/>
      <w:r>
        <w:rPr>
          <w:rStyle w:val="CharStyle17"/>
          <w:b/>
          <w:bCs/>
        </w:rPr>
        <w:t>Относительно шестого довода жалобы Комиссия Управления отмечает следующее.</w:t>
      </w:r>
      <w:bookmarkEnd w:id="2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Пунктом </w:t>
      </w:r>
      <w:r>
        <w:rPr>
          <w:rStyle w:val="CharStyle19"/>
          <w:lang w:val="en-US" w:eastAsia="en-US"/>
        </w:rPr>
        <w:t xml:space="preserve">11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>Закона о контрактной системе определено, что извещение об осуществлении закупки должно содержать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32 </w:t>
      </w:r>
      <w:r>
        <w:rPr>
          <w:rStyle w:val="CharStyle19"/>
        </w:rPr>
        <w:t>Закона о контрактной системе для оценки заявок участников закупки заказчик использует следующие критерии:</w:t>
      </w:r>
    </w:p>
    <w:p>
      <w:pPr>
        <w:pStyle w:val="Style18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цена контракта, сумма цен единиц товара, работы, услуги;</w:t>
      </w:r>
    </w:p>
    <w:p>
      <w:pPr>
        <w:pStyle w:val="Style18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расходы на эксплуатацию и ремонт товаров, использование результатов работ;</w:t>
      </w:r>
    </w:p>
    <w:p>
      <w:pPr>
        <w:pStyle w:val="Style18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качественные, функциональные и экологические характеристики объекта закупки;</w:t>
      </w:r>
    </w:p>
    <w:p>
      <w:pPr>
        <w:pStyle w:val="Style18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силу пункта </w:t>
      </w:r>
      <w:r>
        <w:rPr>
          <w:rStyle w:val="CharStyle19"/>
          <w:lang w:val="en-US" w:eastAsia="en-US"/>
        </w:rPr>
        <w:t xml:space="preserve">4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>Закона о контрактной системе извещение об осуществлении закупки, если иное не предусмотрено настоящим Федеральным законом, должно содержать порядок рассмотрения и оценки заявок на участие в конкурсах в соответствии с настоящим Федеральным законом.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силу части </w:t>
      </w:r>
      <w:r>
        <w:rPr>
          <w:rStyle w:val="CharStyle19"/>
          <w:lang w:val="en-US" w:eastAsia="en-US"/>
        </w:rPr>
        <w:t xml:space="preserve">8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32 </w:t>
      </w:r>
      <w:r>
        <w:rPr>
          <w:rStyle w:val="CharStyle19"/>
        </w:rPr>
        <w:t xml:space="preserve">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настоящей статьи. Постановлением Правительства РФ от </w:t>
      </w:r>
      <w:r>
        <w:rPr>
          <w:rStyle w:val="CharStyle19"/>
          <w:lang w:val="en-US" w:eastAsia="en-US"/>
        </w:rPr>
        <w:t xml:space="preserve">31.12.2021 № 2604 </w:t>
      </w:r>
      <w:r>
        <w:rPr>
          <w:rStyle w:val="CharStyle19"/>
        </w:rPr>
        <w:t xml:space="preserve">«Об оценке заявок на участие в закупке товаров, работ, услуг для обеспечения государственных и муниципальных нужд, внесении изменений в пункт </w:t>
      </w:r>
      <w:r>
        <w:rPr>
          <w:rStyle w:val="CharStyle19"/>
          <w:lang w:val="en-US" w:eastAsia="en-US"/>
        </w:rPr>
        <w:t xml:space="preserve">4 </w:t>
      </w:r>
      <w:r>
        <w:rPr>
          <w:rStyle w:val="CharStyle19"/>
        </w:rPr>
        <w:t xml:space="preserve">постановления Правительства Российской Федерации от </w:t>
      </w:r>
      <w:r>
        <w:rPr>
          <w:rStyle w:val="CharStyle19"/>
          <w:lang w:val="en-US" w:eastAsia="en-US"/>
        </w:rPr>
        <w:t xml:space="preserve">20 </w:t>
      </w:r>
      <w:r>
        <w:rPr>
          <w:rStyle w:val="CharStyle19"/>
        </w:rPr>
        <w:t xml:space="preserve">декабря </w:t>
      </w:r>
      <w:r>
        <w:rPr>
          <w:rStyle w:val="CharStyle19"/>
          <w:lang w:val="en-US" w:eastAsia="en-US"/>
        </w:rPr>
        <w:t xml:space="preserve">2021 </w:t>
      </w:r>
      <w:r>
        <w:rPr>
          <w:rStyle w:val="CharStyle19"/>
        </w:rPr>
        <w:t xml:space="preserve">г. </w:t>
      </w:r>
      <w:r>
        <w:rPr>
          <w:rStyle w:val="CharStyle19"/>
          <w:lang w:val="en-US" w:eastAsia="en-US"/>
        </w:rPr>
        <w:t xml:space="preserve">№ 2369 </w:t>
      </w:r>
      <w:r>
        <w:rPr>
          <w:rStyle w:val="CharStyle19"/>
        </w:rPr>
        <w:t xml:space="preserve">и признании утратившими силу некоторых актов и отдельных положений некоторых актов Правительства Российской Федерации» установлено Положение об оценке заявок на участие в закупке товаров, работ, услуг для обеспечения государственных и муниципальных нужд (далее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Положение).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063" w:right="539" w:bottom="1147" w:left="1104" w:header="635" w:footer="3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 xml:space="preserve">Согласно подпункту «а» пункта </w:t>
      </w:r>
      <w:r>
        <w:rPr>
          <w:rStyle w:val="CharStyle19"/>
          <w:lang w:val="en-US" w:eastAsia="en-US"/>
        </w:rPr>
        <w:t xml:space="preserve">20 </w:t>
      </w:r>
      <w:r>
        <w:rPr>
          <w:rStyle w:val="CharStyle19"/>
        </w:rPr>
        <w:t>Положения,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подлежащей в соответствии с Федеральным законом оценке по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4951095</wp:posOffset>
                </wp:positionH>
                <wp:positionV relativeFrom="paragraph">
                  <wp:posOffset>12700</wp:posOffset>
                </wp:positionV>
                <wp:extent cx="2258695" cy="27114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8695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9"/>
                                <w:rFonts w:ascii="Segoe UI" w:eastAsia="Segoe UI" w:hAnsi="Segoe UI" w:cs="Segoe UI"/>
                                <w:color w:val="212529"/>
                                <w:sz w:val="24"/>
                                <w:szCs w:val="24"/>
                                <w:lang w:val="en-US" w:eastAsia="en-US"/>
                              </w:rPr>
                              <w:t xml:space="preserve">, </w:t>
                            </w:r>
                            <w:r>
                              <w:rPr>
                                <w:rStyle w:val="CharStyle19"/>
                              </w:rPr>
                              <w:t>рассчитывается по одной из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89.85000000000002pt;margin-top:1.pt;width:177.84999999999999pt;height:21.35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9"/>
                          <w:rFonts w:ascii="Segoe UI" w:eastAsia="Segoe UI" w:hAnsi="Segoe UI" w:cs="Segoe UI"/>
                          <w:color w:val="212529"/>
                          <w:sz w:val="24"/>
                          <w:szCs w:val="24"/>
                          <w:lang w:val="en-US" w:eastAsia="en-US"/>
                        </w:rPr>
                        <w:t xml:space="preserve">, </w:t>
                      </w:r>
                      <w:r>
                        <w:rPr>
                          <w:rStyle w:val="CharStyle19"/>
                        </w:rPr>
                        <w:t>рассчитывается по одной из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2314575</wp:posOffset>
            </wp:positionH>
            <wp:positionV relativeFrom="paragraph">
              <wp:posOffset>463550</wp:posOffset>
            </wp:positionV>
            <wp:extent cx="2792095" cy="64008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792095" cy="6400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186" w:right="536" w:bottom="1024" w:left="1106" w:header="758" w:footer="3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>критерию оценки «характеристики объекта закупки» следующих формул:</w:t>
      </w:r>
    </w:p>
    <w:p>
      <w:pPr>
        <w:widowControl w:val="0"/>
        <w:spacing w:line="125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6" w:right="0" w:bottom="10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left"/>
      </w:pPr>
      <w:r>
        <w:rPr>
          <w:rStyle w:val="CharStyle19"/>
        </w:rPr>
        <w:t>где: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left"/>
      </w:pPr>
      <w:r>
        <w:rPr>
          <w:rStyle w:val="CharStyle19"/>
          <w:color w:val="212529"/>
        </w:rPr>
        <w:t>V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drawing>
          <wp:anchor distT="0" distB="0" distL="25400" distR="25400" simplePos="0" relativeHeight="125829382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609600</wp:posOffset>
            </wp:positionV>
            <wp:extent cx="267970" cy="29845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67970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19"/>
        </w:rPr>
        <w:t xml:space="preserve">■ ■ •' </w:t>
      </w:r>
      <w:r>
        <w:rPr>
          <w:rStyle w:val="CharStyle19"/>
          <w:color w:val="212529"/>
        </w:rPr>
        <w:t xml:space="preserve">- </w:t>
      </w:r>
      <w:r>
        <w:rPr>
          <w:rStyle w:val="CharStyle19"/>
        </w:rPr>
        <w:t>максимальное значение характеристики объекта закупки, содержащееся в заявках (частях заявок), подлежащих в соответствии с Федеральным законом оценке по критерию оценки «характеристики объекта закупки»;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0" w:line="230" w:lineRule="auto"/>
        <w:ind w:left="0" w:right="0" w:firstLine="0"/>
        <w:jc w:val="left"/>
      </w:pPr>
      <w:r>
        <w:rPr>
          <w:rStyle w:val="CharStyle19"/>
          <w:rFonts w:ascii="Segoe UI" w:eastAsia="Segoe UI" w:hAnsi="Segoe UI" w:cs="Segoe UI"/>
          <w:color w:val="212529"/>
          <w:sz w:val="24"/>
          <w:szCs w:val="24"/>
        </w:rPr>
        <w:t xml:space="preserve">- </w:t>
      </w:r>
      <w:r>
        <w:rPr>
          <w:rStyle w:val="CharStyle19"/>
        </w:rPr>
        <w:t>значение характеристики объекта закупки, содержащееся в предложении участника закупки,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60" w:line="230" w:lineRule="auto"/>
        <w:ind w:left="0" w:right="0" w:firstLine="0"/>
        <w:jc w:val="left"/>
      </w:pPr>
      <w:r>
        <w:rPr>
          <w:rStyle w:val="CharStyle19"/>
        </w:rPr>
        <w:t>заявка (часть заявки) которого подлежит в соответствии с Федеральным законом оценке по критерию оценки «характеристики объекта закупки»;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color w:val="212529"/>
        </w:rPr>
        <w:t>X -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9"/>
        </w:rPr>
        <w:t xml:space="preserve">'' • </w:t>
      </w:r>
      <w:r>
        <w:rPr>
          <w:rStyle w:val="CharStyle19"/>
          <w:color w:val="212529"/>
        </w:rPr>
        <w:t xml:space="preserve">- </w:t>
      </w:r>
      <w:r>
        <w:rPr>
          <w:rStyle w:val="CharStyle19"/>
        </w:rPr>
        <w:t>минимальное значение характеристики объекта закупки, содержащееся в заявках (частях заявок), подлежащих в соответствии с Федеральным законом оценке по критерию оценки «характеристики объекта закупки».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9"/>
        </w:rPr>
        <w:t>В соответствии с пунктом 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18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rStyle w:val="CharStyle19"/>
        </w:rPr>
        <w:t>наличие у участников закупки финансовых ресурсов;</w:t>
      </w:r>
    </w:p>
    <w:p>
      <w:pPr>
        <w:pStyle w:val="Style18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rStyle w:val="CharStyle19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18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rStyle w:val="CharStyle19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18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наличие у участников закупки деловой репутации;</w:t>
      </w:r>
    </w:p>
    <w:p>
      <w:pPr>
        <w:pStyle w:val="Style18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В извещении о проведении закупки приведен порядок рассмотрения и оценки заявок на участие в конкурсе, в котором установлен критерий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 (договора), и деловой репутации, специалистов и иных работников определенного уровня квалификации», в нем имеется показатель «наличие у участников закупки опыта работы, связанного с предметом контракта», характеристика «наибольшая цена одного из исполненных участником закупки договоров.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К оценке принимается исключительно исполненный договор (договоры), с исполненными требованиями об уплате неустоек (штрафов, пеней) (в случае установления неустоек) сопоставимый с предметом контракта, на право заключения которого проводится закупка.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Закон о контрактной системе не регламентирует установление в конкурсной документации тех или иных показателей, а также необходимую информацию, раскрывающую содержание не стоимостных критериев.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6" w:right="546" w:bottom="1024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>Возможность определить перечень показателей, их содержание и наполняемость, перечень документов, предоставляемых в составе заявки по показателям, а также значимость каждого показателя,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определения, принадлежит Заказчику в соответствии с Постановлением № 2604.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Таким образом, Закон о контрактной системе позволяет Заказчику самостоятельно разрабатывать извещение о закупке и определять содержание не стоимостного критерия оценки исходя из своих потребностей, но в рамках законодательства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9"/>
        </w:rPr>
        <w:t>На основании вышеизложенного, шестой довод жалобы является необоснованным.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22" w:name="bookmark22"/>
      <w:r>
        <w:rPr>
          <w:rStyle w:val="CharStyle17"/>
          <w:b/>
          <w:bCs/>
        </w:rPr>
        <w:t>Относительно седьмого довода жалобы Комиссия Управления отмечает следующее.</w:t>
      </w:r>
      <w:bookmarkEnd w:id="2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виду того, что основная работа, обусловленная закупкой, заключается в сборке стальных конструкций, в данном случае ангара для производственных нужд, который не является объектом капитального строительства (недвижимым имуществом), Заказчиком в соответствии с Постановлением Правительства РФ от </w:t>
      </w:r>
      <w:r>
        <w:rPr>
          <w:rStyle w:val="CharStyle19"/>
          <w:lang w:val="en-US" w:eastAsia="en-US"/>
        </w:rPr>
        <w:t xml:space="preserve">29.12.2021 № 2571 </w:t>
      </w:r>
      <w:r>
        <w:rPr>
          <w:rStyle w:val="CharStyle19"/>
        </w:rPr>
        <w:t xml:space="preserve">(п. </w:t>
      </w:r>
      <w:r>
        <w:rPr>
          <w:rStyle w:val="CharStyle19"/>
          <w:lang w:val="en-US" w:eastAsia="en-US"/>
        </w:rPr>
        <w:t xml:space="preserve">9 </w:t>
      </w:r>
      <w:r>
        <w:rPr>
          <w:rStyle w:val="CharStyle19"/>
        </w:rPr>
        <w:t xml:space="preserve">раздела </w:t>
      </w:r>
      <w:r>
        <w:rPr>
          <w:rStyle w:val="CharStyle19"/>
          <w:lang w:val="en-US" w:eastAsia="en-US"/>
        </w:rPr>
        <w:t xml:space="preserve">II </w:t>
      </w:r>
      <w:r>
        <w:rPr>
          <w:rStyle w:val="CharStyle19"/>
        </w:rPr>
        <w:t>Приложения) в извещении о проведении закупки установлен не стоимостной критерий оценки «Квалификация участников закупки» и его показатель «наличие у участников закупки опыта работы, связанного с предметом контракта». В рамках данного показателя Заказчиком определена характеристика «наибольшая цена одного из исполненных участником закупки договоров», а также установлен перечень работ сопоставимого характера, принимаемых к оценке: «выполнение работ по строительству некапитального строения, сооружения (строений, сооружений), благоустройству территории, строительству, реконструкции объекта капитального строительства (в том числе линейного объекта)».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Требования в соответствии с позицией </w:t>
      </w:r>
      <w:r>
        <w:rPr>
          <w:rStyle w:val="CharStyle19"/>
          <w:lang w:val="en-US" w:eastAsia="en-US"/>
        </w:rPr>
        <w:t xml:space="preserve">9 </w:t>
      </w:r>
      <w:r>
        <w:rPr>
          <w:rStyle w:val="CharStyle19"/>
        </w:rPr>
        <w:t xml:space="preserve">раздела </w:t>
      </w:r>
      <w:r>
        <w:rPr>
          <w:rStyle w:val="CharStyle19"/>
          <w:lang w:val="en-US" w:eastAsia="en-US"/>
        </w:rPr>
        <w:t xml:space="preserve">II </w:t>
      </w:r>
      <w:r>
        <w:rPr>
          <w:rStyle w:val="CharStyle19"/>
        </w:rPr>
        <w:t xml:space="preserve">приложения к ПП РФ от </w:t>
      </w:r>
      <w:r>
        <w:rPr>
          <w:rStyle w:val="CharStyle19"/>
          <w:lang w:val="en-US" w:eastAsia="en-US"/>
        </w:rPr>
        <w:t xml:space="preserve">29.12.2021 № 2571 </w:t>
      </w:r>
      <w:r>
        <w:rPr>
          <w:rStyle w:val="CharStyle19"/>
        </w:rPr>
        <w:t xml:space="preserve">(для требования к участникам закупок в соответствии с частью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 xml:space="preserve">Федерального 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44-ФЗ): Наличие у участника закупки одного из следующих видов опыта выполнения работ:</w:t>
      </w:r>
    </w:p>
    <w:p>
      <w:pPr>
        <w:pStyle w:val="Style18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опыт исполнения договора, предусматривающего выполнение работ по строительству </w:t>
      </w:r>
      <w:r>
        <w:rPr>
          <w:rStyle w:val="CharStyle19"/>
          <w:u w:val="single"/>
        </w:rPr>
        <w:t>некапитального строения</w:t>
      </w:r>
      <w:r>
        <w:rPr>
          <w:rStyle w:val="CharStyle19"/>
        </w:rPr>
        <w:t>, сооружения (строений, сооружений), благоустройству территории;</w:t>
      </w:r>
    </w:p>
    <w:p>
      <w:pPr>
        <w:pStyle w:val="Style18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опыт исполнения договора строительного подряда, предусматривающего выполнение работ по строительству, реконструкции объекта </w:t>
      </w:r>
      <w:r>
        <w:rPr>
          <w:rStyle w:val="CharStyle19"/>
          <w:u w:val="single"/>
        </w:rPr>
        <w:t>капитального строительства</w:t>
      </w:r>
      <w:r>
        <w:rPr>
          <w:rStyle w:val="CharStyle19"/>
        </w:rPr>
        <w:t xml:space="preserve"> (в том числе линейного объекта);</w:t>
      </w:r>
    </w:p>
    <w:p>
      <w:pPr>
        <w:pStyle w:val="Style18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опыт выполнения участником закупки, являющимся застройщиком, работ по строительству, реконструкции объекта </w:t>
      </w:r>
      <w:r>
        <w:rPr>
          <w:rStyle w:val="CharStyle19"/>
          <w:u w:val="single"/>
        </w:rPr>
        <w:t>капитального строительства</w:t>
      </w:r>
      <w:r>
        <w:rPr>
          <w:rStyle w:val="CharStyle19"/>
        </w:rPr>
        <w:t xml:space="preserve"> (в том числе линейного объекта).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Цена выполненных работ по договорам, предусмотренных пунктами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или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настоящей графы настоящей позиции, цена выполненных работ, предусмотренных пунктом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настоящей графы настоящей позиции, должна составлять не менее </w:t>
      </w:r>
      <w:r>
        <w:rPr>
          <w:rStyle w:val="CharStyle19"/>
          <w:lang w:val="en-US" w:eastAsia="en-US"/>
        </w:rPr>
        <w:t xml:space="preserve">20 </w:t>
      </w:r>
      <w:r>
        <w:rPr>
          <w:rStyle w:val="CharStyle19"/>
        </w:rPr>
        <w:t>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Информация и документы, подтверждающие соответствие участников закупки дополнительным требованиям:</w:t>
      </w:r>
    </w:p>
    <w:p>
      <w:pPr>
        <w:pStyle w:val="Style18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02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случае наличия опыта, предусмотренного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>графы «Дополнительные требования к участникам закупки» настоящей позиции:</w:t>
      </w:r>
    </w:p>
    <w:p>
      <w:pPr>
        <w:pStyle w:val="Style18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контракт, заключенный и исполненный в соответствии с Законом о контрактной системе, либо договор, заключенный и исполненный в соответствии с Федеральным законом «О закупках товаров, работ, услуг отдельными видами юридических лиц»</w:t>
      </w:r>
    </w:p>
    <w:p>
      <w:pPr>
        <w:pStyle w:val="Style18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7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акт выполненных работ, подтверждающий цену выполненных работ.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случае наличия опыта, предусмотренного пунктом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>графы «Дополнительные требования к участникам закупки» настоящей позиции:</w:t>
      </w:r>
    </w:p>
    <w:p>
      <w:pPr>
        <w:pStyle w:val="Style18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исполненный договор либо контракт, заключенный и исполненный в соответствии с Законом о контрактной системе, либо договор, заключенный и исполненный в соответствии с Федеральным законом «О закупках товаров, работ, услуг отдельными видами юридических лиц» (если направляемый контракт либо договор предусматривает выполнение работ, не требующих в соответствии с законодательством о градостроительной деятельности выдачи разрешения на ввод объекта </w:t>
      </w:r>
      <w:r>
        <w:rPr>
          <w:rStyle w:val="CharStyle19"/>
          <w:u w:val="single"/>
        </w:rPr>
        <w:t>капитального строительства</w:t>
      </w:r>
      <w:r>
        <w:rPr>
          <w:rStyle w:val="CharStyle19"/>
        </w:rPr>
        <w:t xml:space="preserve"> в эксплуатацию);</w:t>
      </w:r>
    </w:p>
    <w:p>
      <w:pPr>
        <w:pStyle w:val="Style18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056" w:val="left"/>
        </w:tabs>
        <w:bidi w:val="0"/>
        <w:spacing w:before="0" w:after="0" w:line="434" w:lineRule="auto"/>
        <w:ind w:left="0" w:right="0" w:firstLine="720"/>
        <w:jc w:val="both"/>
      </w:pPr>
      <w:r>
        <w:rPr>
          <w:rStyle w:val="CharStyle19"/>
        </w:rPr>
        <w:t xml:space="preserve">акт приемки объекта </w:t>
      </w:r>
      <w:r>
        <w:rPr>
          <w:rStyle w:val="CharStyle19"/>
          <w:u w:val="single"/>
        </w:rPr>
        <w:t>капитального строительства</w:t>
      </w:r>
      <w:r>
        <w:rPr>
          <w:rStyle w:val="CharStyle19"/>
        </w:rPr>
        <w:t xml:space="preserve">, а также акт выполненных работ </w:t>
      </w:r>
      <w:r>
        <w:rPr>
          <w:rStyle w:val="CharStyle19"/>
          <w:lang w:val="en-US" w:eastAsia="en-US"/>
        </w:rPr>
        <w:t>2026-3352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18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разрешение на ввод объекта </w:t>
      </w:r>
      <w:r>
        <w:rPr>
          <w:rStyle w:val="CharStyle19"/>
          <w:u w:val="single"/>
        </w:rPr>
        <w:t>капитального строительства</w:t>
      </w:r>
      <w:r>
        <w:rPr>
          <w:rStyle w:val="CharStyle19"/>
        </w:rPr>
        <w:t xml:space="preserve">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пунктом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>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случае наличия опыта, предусмотренного пунктом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>графы «Дополнительные требования к участникам закупки» настоящей позиции:</w:t>
      </w:r>
    </w:p>
    <w:p>
      <w:pPr>
        <w:pStyle w:val="Style18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раздел «Смета на строительство, реконструкцию, капитальный ремонт, снос объекта </w:t>
      </w:r>
      <w:r>
        <w:rPr>
          <w:rStyle w:val="CharStyle19"/>
          <w:u w:val="single"/>
        </w:rPr>
        <w:t>капитального строительства»</w:t>
      </w:r>
      <w:r>
        <w:rPr>
          <w:rStyle w:val="CharStyle19"/>
        </w:rPr>
        <w:t xml:space="preserve"> проектной документации;</w:t>
      </w:r>
    </w:p>
    <w:p>
      <w:pPr>
        <w:pStyle w:val="Style18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разрешение на ввод объекта </w:t>
      </w:r>
      <w:r>
        <w:rPr>
          <w:rStyle w:val="CharStyle19"/>
          <w:u w:val="single"/>
        </w:rPr>
        <w:t>капитального строительства</w:t>
      </w:r>
      <w:r>
        <w:rPr>
          <w:rStyle w:val="CharStyle19"/>
        </w:rPr>
        <w:t xml:space="preserve"> в эксплуатацию или решение о технической готовности линейного объекта инфраструктуры к временной эксплуатации.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К объекту </w:t>
      </w:r>
      <w:r>
        <w:rPr>
          <w:rStyle w:val="CharStyle19"/>
          <w:u w:val="single"/>
        </w:rPr>
        <w:t>капитального строительства</w:t>
      </w:r>
      <w:r>
        <w:rPr>
          <w:rStyle w:val="CharStyle19"/>
        </w:rPr>
        <w:t xml:space="preserve">, предусмотренному пунктами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и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>настоящей позиции также относится объект капитального строительства, входящий в состав линейного объекта;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Если предусмотрено несколько видов опыта выполнения работ, то соответствующим требованию о наличии опыта выполнения работ является участник закупки, обладающий хотя бы одним из таких видов опыта;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Опытом исполнения договора, считается такой опыт участника закупки за </w:t>
      </w:r>
      <w:r>
        <w:rPr>
          <w:rStyle w:val="CharStyle19"/>
          <w:lang w:val="en-US" w:eastAsia="en-US"/>
        </w:rPr>
        <w:t xml:space="preserve">5 </w:t>
      </w:r>
      <w:r>
        <w:rPr>
          <w:rStyle w:val="CharStyle19"/>
        </w:rPr>
        <w:t xml:space="preserve">лет до дня окончания срока подачи заявок на участие в закупке с учетом правопреемства (в случае наличия подтверждающего документа). Акты и разрешение на ввод объекта капитального строительства в эксплуатацию должны быть подписаны не ранее чем за </w:t>
      </w:r>
      <w:r>
        <w:rPr>
          <w:rStyle w:val="CharStyle19"/>
          <w:lang w:val="en-US" w:eastAsia="en-US"/>
        </w:rPr>
        <w:t xml:space="preserve">5 </w:t>
      </w:r>
      <w:r>
        <w:rPr>
          <w:rStyle w:val="CharStyle19"/>
        </w:rPr>
        <w:t>лет до дня окончания срока подачи заявок на участие в закупке;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Ценой выполненных работ по договору считается общая цена (сумма цен) работ, указанная в акте (актах) приемки выполненных работ. Если при исполнении такого договора составлено несколько актов приемки выполненных работ, участниками закупки направляются в соответствии с требованиями Федерального закона №44-ФЗ все такие акты.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Таким образом, исходя из позиции </w:t>
      </w:r>
      <w:r>
        <w:rPr>
          <w:rStyle w:val="CharStyle19"/>
          <w:lang w:val="en-US" w:eastAsia="en-US"/>
        </w:rPr>
        <w:t xml:space="preserve">9 </w:t>
      </w:r>
      <w:r>
        <w:rPr>
          <w:rStyle w:val="CharStyle19"/>
        </w:rPr>
        <w:t xml:space="preserve">раздела </w:t>
      </w:r>
      <w:r>
        <w:rPr>
          <w:rStyle w:val="CharStyle19"/>
          <w:lang w:val="en-US" w:eastAsia="en-US"/>
        </w:rPr>
        <w:t xml:space="preserve">II </w:t>
      </w:r>
      <w:r>
        <w:rPr>
          <w:rStyle w:val="CharStyle19"/>
        </w:rPr>
        <w:t xml:space="preserve">приложения к Постановлению Правительства </w:t>
      </w:r>
      <w:r>
        <w:rPr>
          <w:rStyle w:val="CharStyle19"/>
          <w:lang w:val="en-US" w:eastAsia="en-US"/>
        </w:rPr>
        <w:t xml:space="preserve">№ 2571 </w:t>
      </w:r>
      <w:r>
        <w:rPr>
          <w:rStyle w:val="CharStyle19"/>
        </w:rPr>
        <w:t>Заказчиком правомерно принимается опыт выполнения работ как некапитального строительства, так и капитального строительства.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9"/>
        </w:rPr>
        <w:t>На основании вышеизложенного, седьмой довод жалобы является необоснованным.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>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9"/>
        </w:rPr>
        <w:t>На основании вышеизложенного, Комиссия Управления решила выдать обязательное для исполнения предписание.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9"/>
        </w:rPr>
        <w:t xml:space="preserve">Рассмотрев материалы дела, изучив представленные документы представителей сторон, руководствуясь положениями статьи </w:t>
      </w:r>
      <w:r>
        <w:rPr>
          <w:rStyle w:val="CharStyle19"/>
          <w:lang w:val="en-US" w:eastAsia="en-US"/>
        </w:rPr>
        <w:t xml:space="preserve">106 </w:t>
      </w:r>
      <w:r>
        <w:rPr>
          <w:rStyle w:val="CharStyle19"/>
        </w:rPr>
        <w:t>Закона о контрактной системе, Комиссия Управления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24" w:name="bookmark24"/>
      <w:r>
        <w:rPr>
          <w:rStyle w:val="CharStyle17"/>
          <w:b/>
          <w:bCs/>
        </w:rPr>
        <w:t>РЕШИЛА:</w:t>
      </w:r>
      <w:bookmarkEnd w:id="24"/>
    </w:p>
    <w:p>
      <w:pPr>
        <w:pStyle w:val="Style18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046" w:val="left"/>
        </w:tabs>
        <w:bidi w:val="0"/>
        <w:spacing w:before="0" w:after="240" w:line="434" w:lineRule="auto"/>
        <w:ind w:left="0" w:right="0" w:firstLine="720"/>
        <w:jc w:val="both"/>
        <w:sectPr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416" w:left="1106" w:header="682" w:footer="3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 xml:space="preserve">Признать жалобу ИП Взятышева В.С. (ИНН: </w:t>
      </w:r>
      <w:r>
        <w:rPr>
          <w:rStyle w:val="CharStyle19"/>
          <w:lang w:val="en-US" w:eastAsia="en-US"/>
        </w:rPr>
        <w:t xml:space="preserve">8601009316)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23.04.2026 № 4546/26, </w:t>
      </w:r>
      <w:r>
        <w:rPr>
          <w:rStyle w:val="CharStyle19"/>
        </w:rPr>
        <w:t xml:space="preserve">на </w:t>
      </w:r>
      <w:r>
        <w:rPr>
          <w:rStyle w:val="CharStyle19"/>
          <w:lang w:val="en-US" w:eastAsia="en-US"/>
        </w:rPr>
        <w:t>2026-3352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 xml:space="preserve">действия Заказчика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Бюджетного учреждения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«Дирекция по эксплуатации служебных зданий», Уполномоченного органа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Департамента государственного заказа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при проведении открытого конкурса в электронной форме, предметом которого является выполнение работ по монтажу быстровозводимого сооружения «Ангар из металла. Шифр </w:t>
      </w:r>
      <w:r>
        <w:rPr>
          <w:rStyle w:val="CharStyle19"/>
          <w:lang w:val="en-US" w:eastAsia="en-US"/>
        </w:rPr>
        <w:t xml:space="preserve">1808-2025» </w:t>
      </w:r>
      <w:r>
        <w:rPr>
          <w:rStyle w:val="CharStyle19"/>
        </w:rPr>
        <w:t xml:space="preserve">(извещение </w:t>
      </w:r>
      <w:r>
        <w:rPr>
          <w:rStyle w:val="CharStyle19"/>
          <w:lang w:val="en-US" w:eastAsia="en-US"/>
        </w:rPr>
        <w:t xml:space="preserve">№ 0187200001726000379) </w:t>
      </w:r>
      <w:r>
        <w:rPr>
          <w:rStyle w:val="CharStyle19"/>
        </w:rPr>
        <w:t>частично обоснованной.</w:t>
      </w:r>
    </w:p>
    <w:p>
      <w:pPr>
        <w:pStyle w:val="Style18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Первый довод жалобы необоснованный.</w:t>
      </w:r>
    </w:p>
    <w:p>
      <w:pPr>
        <w:pStyle w:val="Style18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Второй довод жалобы необоснованный.</w:t>
      </w:r>
    </w:p>
    <w:p>
      <w:pPr>
        <w:pStyle w:val="Style18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Третий довод жалобы обоснованный.</w:t>
      </w:r>
    </w:p>
    <w:p>
      <w:pPr>
        <w:pStyle w:val="Style18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Четвертый довод жалобы обоснованный.</w:t>
      </w:r>
    </w:p>
    <w:p>
      <w:pPr>
        <w:pStyle w:val="Style18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Пятый довод жалобы обоснованный.</w:t>
      </w:r>
    </w:p>
    <w:p>
      <w:pPr>
        <w:pStyle w:val="Style18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Шестой довод жалобы необоснованный.</w:t>
      </w:r>
    </w:p>
    <w:p>
      <w:pPr>
        <w:pStyle w:val="Style18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Седьмой довод жалобы необоснованный.</w:t>
      </w:r>
    </w:p>
    <w:p>
      <w:pPr>
        <w:pStyle w:val="Style18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Признать в действиях Заказчика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Бюджетного учреждения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«Дирекция по эксплуатации служебных зданий» нарушение положений части </w:t>
      </w:r>
      <w:r>
        <w:rPr>
          <w:rStyle w:val="CharStyle19"/>
          <w:lang w:val="en-US" w:eastAsia="en-US"/>
        </w:rPr>
        <w:t xml:space="preserve">6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31, </w:t>
      </w:r>
      <w:r>
        <w:rPr>
          <w:rStyle w:val="CharStyle19"/>
        </w:rPr>
        <w:t xml:space="preserve">пункта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1,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33, </w:t>
      </w:r>
      <w:r>
        <w:rPr>
          <w:rStyle w:val="CharStyle19"/>
        </w:rPr>
        <w:t xml:space="preserve">пункта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8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6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Выдать обязательное для исполнения предписание.</w:t>
      </w:r>
    </w:p>
    <w:p>
      <w:pPr>
        <w:pStyle w:val="Style18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Передать уполномоченному должностному лицу Ханты-Мансийского УФАС России материалы дела для рассмотрения вопроса о привлечении должностных лиц, допустивших нарушение требований Закона о контрактной системе, к административной ответственности.</w:t>
      </w:r>
    </w:p>
    <w:p>
      <w:pPr>
        <w:pStyle w:val="Style18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Направить данное решение сторонам и опубликовать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9"/>
          <w:lang w:val="en-US" w:eastAsia="en-US"/>
        </w:rPr>
        <w:t>(</w:t>
      </w:r>
      <w:r>
        <w:rPr>
          <w:rStyle w:val="CharStyle19"/>
          <w:color w:val="000080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9"/>
          <w:lang w:val="en-US" w:eastAsia="en-US"/>
        </w:rPr>
        <w:t>).</w:t>
      </w:r>
    </w:p>
    <w:p>
      <w:pPr>
        <w:widowControl w:val="0"/>
        <w:spacing w:line="1" w:lineRule="exact"/>
        <w:sectPr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2859" w:left="1106" w:header="68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82600" distB="374650" distL="0" distR="0" simplePos="0" relativeHeight="125829383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482600</wp:posOffset>
                </wp:positionV>
                <wp:extent cx="1569720" cy="21653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200000000000003pt;margin-top:38.pt;width:123.60000000000001pt;height:17.050000000000001pt;z-index:-125829370;mso-wrap-distance-left:0;mso-wrap-distance-top:38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49910" distB="0" distL="0" distR="1786255" simplePos="0" relativeHeight="125829385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549910</wp:posOffset>
            </wp:positionV>
            <wp:extent cx="359410" cy="52451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958215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40000000000001pt;margin-top:75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641350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25pt;margin-top:50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82600" distB="374650" distL="0" distR="0" simplePos="0" relativeHeight="125829386" behindDoc="0" locked="0" layoutInCell="1" allowOverlap="1">
                <wp:simplePos x="0" y="0"/>
                <wp:positionH relativeFrom="page">
                  <wp:posOffset>6384290</wp:posOffset>
                </wp:positionH>
                <wp:positionV relativeFrom="paragraph">
                  <wp:posOffset>482600</wp:posOffset>
                </wp:positionV>
                <wp:extent cx="801370" cy="21653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9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02.69999999999999pt;margin-top:38.pt;width:63.100000000000001pt;height:17.050000000000001pt;z-index:-125829367;mso-wrap-distance-left:0;mso-wrap-distance-top:38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9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0"/>
        </w:rPr>
        <w:t xml:space="preserve">Кому </w:t>
      </w:r>
      <w:r>
        <w:rPr>
          <w:rStyle w:val="CharStyle40"/>
          <w:color w:val="565656"/>
        </w:rPr>
        <w:t xml:space="preserve">выдан: </w:t>
      </w:r>
      <w:r>
        <w:rPr>
          <w:rStyle w:val="CharStyle40"/>
          <w:color w:val="000000"/>
        </w:rPr>
        <w:t>Бочков Сергей Александрович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0"/>
        </w:rPr>
        <w:t xml:space="preserve">Сертификат </w:t>
      </w:r>
      <w:r>
        <w:rPr>
          <w:rStyle w:val="CharStyle40"/>
          <w:color w:val="212529"/>
        </w:rPr>
        <w:t xml:space="preserve">№ </w:t>
      </w:r>
      <w:r>
        <w:rPr>
          <w:rStyle w:val="CharStyle40"/>
          <w:lang w:val="en-US" w:eastAsia="en-US"/>
        </w:rPr>
        <w:t>3594F9724E4D48CCCC80D14CBA75D809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0"/>
        </w:rPr>
        <w:t xml:space="preserve">Действителен с 18.02.2026 </w:t>
      </w:r>
      <w:r>
        <w:rPr>
          <w:rStyle w:val="CharStyle40"/>
          <w:color w:val="565656"/>
        </w:rPr>
        <w:t>по 14.05.2027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9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40000000000001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2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</w:rPr>
        <w:t>Н.Ю. Вегеш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0"/>
        </w:rPr>
        <w:t xml:space="preserve">Кому выдан: </w:t>
      </w:r>
      <w:r>
        <w:rPr>
          <w:rStyle w:val="CharStyle40"/>
          <w:color w:val="000000"/>
        </w:rPr>
        <w:t>Вегеш Наталья Юрьевна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0"/>
        </w:rPr>
        <w:t xml:space="preserve">Сертификат </w:t>
      </w:r>
      <w:r>
        <w:rPr>
          <w:rStyle w:val="CharStyle40"/>
          <w:color w:val="212529"/>
        </w:rPr>
        <w:t xml:space="preserve">№ </w:t>
      </w:r>
      <w:r>
        <w:rPr>
          <w:rStyle w:val="CharStyle40"/>
          <w:lang w:val="en-US" w:eastAsia="en-US"/>
        </w:rPr>
        <w:t>00E689A599DFE4ABDEA829E9F72F7E88C</w:t>
      </w:r>
      <w:r>
        <w:rPr>
          <w:rStyle w:val="CharStyle40"/>
          <w:lang w:val="en-US" w:eastAsia="en-US"/>
        </w:rPr>
        <w:t>3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6295390</wp:posOffset>
                </wp:positionH>
                <wp:positionV relativeFrom="paragraph">
                  <wp:posOffset>304800</wp:posOffset>
                </wp:positionV>
                <wp:extent cx="892810" cy="216535"/>
                <wp:wrapSquare wrapText="left"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9"/>
                              </w:rPr>
                              <w:t>А.В. Шаврин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95.69999999999999pt;margin-top:24.pt;width:70.299999999999997pt;height:17.050000000000001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9"/>
                        </w:rPr>
                        <w:t>А.В. Шаврин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40"/>
        </w:rPr>
        <w:t xml:space="preserve">Действителен с 11.12.2025 </w:t>
      </w:r>
      <w:r>
        <w:rPr>
          <w:rStyle w:val="CharStyle40"/>
          <w:color w:val="565656"/>
        </w:rPr>
        <w:t xml:space="preserve">по </w:t>
      </w:r>
      <w:r>
        <w:rPr>
          <w:rStyle w:val="CharStyle40"/>
        </w:rPr>
        <w:t>06.03.2027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45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4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Style w:val="CharStyle45"/>
          <w:color w:val="FFFFFF"/>
          <w:sz w:val="12"/>
          <w:szCs w:val="12"/>
        </w:rPr>
        <w:t>СВЕДЕНИЯ О СЕРТИФИКАТЕ ЭП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0"/>
        </w:rPr>
        <w:t xml:space="preserve">Кому выдан: </w:t>
      </w:r>
      <w:r>
        <w:rPr>
          <w:rStyle w:val="CharStyle40"/>
          <w:color w:val="000000"/>
        </w:rPr>
        <w:t>Шаврин Александр Владимирович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0"/>
        </w:rPr>
        <w:t xml:space="preserve">Сертификат </w:t>
      </w:r>
      <w:r>
        <w:rPr>
          <w:rStyle w:val="CharStyle40"/>
          <w:color w:val="212529"/>
        </w:rPr>
        <w:t xml:space="preserve">№ </w:t>
      </w:r>
      <w:r>
        <w:rPr>
          <w:rStyle w:val="CharStyle40"/>
          <w:lang w:val="en-US" w:eastAsia="en-US"/>
        </w:rPr>
        <w:t>00C45121FBA9F083EE218EFC6C4D70B71</w:t>
      </w:r>
      <w:r>
        <w:rPr>
          <w:rStyle w:val="CharStyle40"/>
          <w:lang w:val="en-US" w:eastAsia="en-US"/>
        </w:rPr>
        <w:t>0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0"/>
        </w:rPr>
        <w:t xml:space="preserve">Действителен с 01.08.2025 </w:t>
      </w:r>
      <w:r>
        <w:rPr>
          <w:rStyle w:val="CharStyle40"/>
          <w:color w:val="565656"/>
        </w:rPr>
        <w:t xml:space="preserve">по </w:t>
      </w:r>
      <w:r>
        <w:rPr>
          <w:rStyle w:val="CharStyle40"/>
        </w:rPr>
        <w:t>25.10.2026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10044430</wp:posOffset>
              </wp:positionV>
              <wp:extent cx="64643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2026-3352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90.89999999999998pt;width:50.899999999999999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2026-3352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4643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2026-3352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5pt;margin-top:775.95000000000005pt;width:50.899999999999999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2026-3352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10044430</wp:posOffset>
              </wp:positionV>
              <wp:extent cx="64643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2026-3352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790.89999999999998pt;width:50.899999999999999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2026-3352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10044430</wp:posOffset>
              </wp:positionV>
              <wp:extent cx="646430" cy="12509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2026-3352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950000000000003pt;margin-top:790.89999999999998pt;width:50.899999999999999pt;height:9.84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2026-3352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—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3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3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3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20"/>
      <w:szCs w:val="20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character" w:customStyle="1" w:styleId="CharStyle14">
    <w:name w:val="Heading #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Heading #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Tabl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Other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6">
    <w:name w:val="Picture caption_"/>
    <w:basedOn w:val="DefaultParagraphFont"/>
    <w:link w:val="Style3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529"/>
      <w:sz w:val="11"/>
      <w:szCs w:val="11"/>
      <w:u w:val="none"/>
    </w:rPr>
  </w:style>
  <w:style w:type="character" w:customStyle="1" w:styleId="CharStyle40">
    <w:name w:val="Body text (2)_"/>
    <w:basedOn w:val="DefaultParagraphFont"/>
    <w:link w:val="Style39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45">
    <w:name w:val="Body text (4)_"/>
    <w:basedOn w:val="DefaultParagraphFont"/>
    <w:link w:val="Style4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529"/>
      <w:sz w:val="11"/>
      <w:szCs w:val="11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20"/>
      <w:szCs w:val="20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Heading #2"/>
    <w:basedOn w:val="Normal"/>
    <w:link w:val="CharStyle17"/>
    <w:pPr>
      <w:widowControl w:val="0"/>
      <w:shd w:val="clear" w:color="auto" w:fill="auto"/>
      <w:ind w:firstLine="36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Table caption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Other"/>
    <w:basedOn w:val="Normal"/>
    <w:link w:val="CharStyle2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5">
    <w:name w:val="Picture caption"/>
    <w:basedOn w:val="Normal"/>
    <w:link w:val="CharStyle3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529"/>
      <w:sz w:val="11"/>
      <w:szCs w:val="11"/>
      <w:u w:val="none"/>
    </w:rPr>
  </w:style>
  <w:style w:type="paragraph" w:customStyle="1" w:styleId="Style39">
    <w:name w:val="Body text (2)"/>
    <w:basedOn w:val="Normal"/>
    <w:link w:val="CharStyle4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44">
    <w:name w:val="Body text (4)"/>
    <w:basedOn w:val="Normal"/>
    <w:link w:val="CharStyle45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5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footer" Target="footer5.xml"/><Relationship Id="rId16" Type="http://schemas.openxmlformats.org/officeDocument/2006/relationships/footer" Target="footer6.xm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