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3542665</wp:posOffset>
            </wp:positionH>
            <wp:positionV relativeFrom="paragraph">
              <wp:posOffset>60960</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ФЕДЕРАЛЬНАЯ</w:t>
        <w:br/>
        <w:t>АНТИМОНОПОЛЬНАЯ</w:t>
        <w:br/>
        <w:t>СЛУЖБА</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УПРАВЛЕНИЕ</w:t>
        <w:br/>
        <w:t>по Республике Татарстан</w:t>
      </w:r>
    </w:p>
    <w:p>
      <w:pPr>
        <w:pStyle w:val="Style8"/>
        <w:keepNext w:val="0"/>
        <w:keepLines w:val="0"/>
        <w:widowControl w:val="0"/>
        <w:shd w:val="clear" w:color="auto" w:fill="auto"/>
        <w:bidi w:val="0"/>
        <w:spacing w:before="0" w:after="260" w:line="240" w:lineRule="auto"/>
        <w:ind w:left="0" w:right="0" w:firstLine="0"/>
        <w:jc w:val="center"/>
      </w:pPr>
      <w:r>
        <w:rPr>
          <w:rStyle w:val="CharStyle9"/>
          <w:lang w:val="ru-RU" w:eastAsia="ru-RU"/>
        </w:rPr>
        <w:t xml:space="preserve">ул. Московская, д. </w:t>
      </w:r>
      <w:r>
        <w:rPr>
          <w:rStyle w:val="CharStyle9"/>
        </w:rPr>
        <w:t xml:space="preserve">55, </w:t>
      </w:r>
      <w:r>
        <w:rPr>
          <w:rStyle w:val="CharStyle9"/>
          <w:lang w:val="ru-RU" w:eastAsia="ru-RU"/>
        </w:rPr>
        <w:t xml:space="preserve">г. Казань, </w:t>
      </w:r>
      <w:r>
        <w:rPr>
          <w:rStyle w:val="CharStyle9"/>
        </w:rPr>
        <w:t>420021</w:t>
        <w:br/>
      </w:r>
      <w:r>
        <w:rPr>
          <w:rStyle w:val="CharStyle9"/>
          <w:lang w:val="ru-RU" w:eastAsia="ru-RU"/>
        </w:rPr>
        <w:t xml:space="preserve">тел.: </w:t>
      </w:r>
      <w:r>
        <w:rPr>
          <w:rStyle w:val="CharStyle9"/>
        </w:rPr>
        <w:t xml:space="preserve">(843) 236-89-22, </w:t>
      </w:r>
      <w:r>
        <w:rPr>
          <w:rStyle w:val="CharStyle9"/>
          <w:lang w:val="ru-RU" w:eastAsia="ru-RU"/>
        </w:rPr>
        <w:t xml:space="preserve">факс </w:t>
      </w:r>
      <w:r>
        <w:rPr>
          <w:rStyle w:val="CharStyle9"/>
        </w:rPr>
        <w:t>(843) 238-19-46</w:t>
        <w:br/>
        <w:t xml:space="preserve">e-mail: </w:t>
      </w:r>
      <w:r>
        <w:fldChar w:fldCharType="begin"/>
      </w:r>
      <w:r>
        <w:rPr/>
        <w:instrText> HYPERLINK "mailto:to16@fas.gov.ru" </w:instrText>
      </w:r>
      <w:r>
        <w:fldChar w:fldCharType="separate"/>
      </w:r>
      <w:r>
        <w:rPr>
          <w:rStyle w:val="CharStyle9"/>
        </w:rPr>
        <w:t>to16@fas.gov.ru</w:t>
      </w:r>
      <w:r>
        <w:fldChar w:fldCharType="end"/>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color w:val="548DD4"/>
          <w:sz w:val="24"/>
          <w:szCs w:val="24"/>
          <w:lang w:val="en-US" w:eastAsia="en-US"/>
        </w:rPr>
        <w:t>№</w:t>
      </w:r>
    </w:p>
    <w:p>
      <w:pPr>
        <w:pStyle w:val="Style2"/>
        <w:keepNext w:val="0"/>
        <w:keepLines w:val="0"/>
        <w:widowControl w:val="0"/>
        <w:shd w:val="clear" w:color="auto" w:fill="auto"/>
        <w:tabs>
          <w:tab w:leader="underscore" w:pos="1526" w:val="left"/>
          <w:tab w:leader="underscore" w:pos="3010" w:val="left"/>
        </w:tabs>
        <w:bidi w:val="0"/>
        <w:spacing w:before="0" w:after="0" w:line="240" w:lineRule="auto"/>
        <w:ind w:left="0" w:right="0" w:firstLine="0"/>
        <w:jc w:val="right"/>
        <w:rPr>
          <w:sz w:val="24"/>
          <w:szCs w:val="24"/>
        </w:rPr>
      </w:pPr>
      <w:r>
        <w:rPr>
          <w:rStyle w:val="CharStyle3"/>
          <w:color w:val="548DD4"/>
          <w:sz w:val="24"/>
          <w:szCs w:val="24"/>
        </w:rPr>
        <w:t xml:space="preserve">На </w:t>
      </w:r>
      <w:r>
        <w:rPr>
          <w:rStyle w:val="CharStyle3"/>
          <w:color w:val="548DD4"/>
          <w:sz w:val="24"/>
          <w:szCs w:val="24"/>
          <w:lang w:val="en-US" w:eastAsia="en-US"/>
        </w:rPr>
        <w:t>№</w:t>
        <w:tab/>
      </w:r>
      <w:r>
        <w:rPr>
          <w:rStyle w:val="CharStyle3"/>
          <w:color w:val="548DD4"/>
          <w:sz w:val="24"/>
          <w:szCs w:val="24"/>
        </w:rPr>
        <w:t xml:space="preserve">от </w:t>
      </w:r>
      <w:r>
        <w:rPr>
          <w:rStyle w:val="CharStyle3"/>
          <w:color w:val="548DD4"/>
          <w:sz w:val="24"/>
          <w:szCs w:val="24"/>
          <w:lang w:val="en-US" w:eastAsia="en-US"/>
        </w:rPr>
        <w:tab/>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548DD4"/>
          <w:sz w:val="24"/>
          <w:szCs w:val="24"/>
          <w:lang w:val="en-US" w:eastAsia="en-US"/>
        </w:rPr>
        <w:t xml:space="preserve">МОНОПОЛИЯГӘ </w:t>
      </w:r>
      <w:r>
        <w:rPr>
          <w:rStyle w:val="CharStyle3"/>
          <w:b/>
          <w:bCs/>
          <w:color w:val="548DD4"/>
          <w:sz w:val="24"/>
          <w:szCs w:val="24"/>
        </w:rPr>
        <w:t>КАРШЫ</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 xml:space="preserve">ФЕДЕРАЛЬ </w:t>
      </w:r>
      <w:r>
        <w:rPr>
          <w:rStyle w:val="CharStyle3"/>
          <w:b/>
          <w:bCs/>
          <w:color w:val="548DD4"/>
          <w:sz w:val="24"/>
          <w:szCs w:val="24"/>
          <w:lang w:val="en-US" w:eastAsia="en-US"/>
        </w:rPr>
        <w:t>ХЕЗМӘТНЕҢ</w:t>
      </w:r>
    </w:p>
    <w:p>
      <w:pPr>
        <w:pStyle w:val="Style2"/>
        <w:keepNext w:val="0"/>
        <w:keepLines w:val="0"/>
        <w:widowControl w:val="0"/>
        <w:shd w:val="clear" w:color="auto" w:fill="auto"/>
        <w:bidi w:val="0"/>
        <w:spacing w:before="0" w:after="140" w:line="240" w:lineRule="auto"/>
        <w:ind w:left="0" w:right="0" w:firstLine="0"/>
        <w:jc w:val="center"/>
        <w:rPr>
          <w:sz w:val="24"/>
          <w:szCs w:val="24"/>
        </w:rPr>
      </w:pPr>
      <w:r>
        <w:rPr>
          <w:rStyle w:val="CharStyle3"/>
          <w:b/>
          <w:bCs/>
          <w:color w:val="548DD4"/>
          <w:sz w:val="24"/>
          <w:szCs w:val="24"/>
        </w:rPr>
        <w:t>Татарстан Республикасы</w:t>
        <w:br/>
      </w:r>
      <w:r>
        <w:rPr>
          <w:rStyle w:val="CharStyle3"/>
          <w:b/>
          <w:bCs/>
          <w:color w:val="548DD4"/>
          <w:sz w:val="24"/>
          <w:szCs w:val="24"/>
          <w:lang w:val="en-US" w:eastAsia="en-US"/>
        </w:rPr>
        <w:t>ИДАРӘСЕ</w:t>
      </w:r>
    </w:p>
    <w:p>
      <w:pPr>
        <w:pStyle w:val="Style8"/>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2" w:right="1492" w:bottom="1029" w:left="1287" w:header="0" w:footer="3" w:gutter="0"/>
          <w:pgNumType w:start="1"/>
          <w:cols w:num="2" w:space="2640"/>
          <w:noEndnote/>
          <w:titlePg/>
          <w:rtlGutter w:val="0"/>
          <w:docGrid w:linePitch="360"/>
        </w:sectPr>
      </w:pPr>
      <w:r>
        <w:rPr>
          <w:rStyle w:val="CharStyle9"/>
          <w:lang w:val="ru-RU" w:eastAsia="ru-RU"/>
        </w:rPr>
        <w:t xml:space="preserve">Московский ур., </w:t>
      </w:r>
      <w:r>
        <w:rPr>
          <w:rStyle w:val="CharStyle9"/>
        </w:rPr>
        <w:t xml:space="preserve">55 </w:t>
      </w:r>
      <w:r>
        <w:rPr>
          <w:rStyle w:val="CharStyle9"/>
          <w:lang w:val="ru-RU" w:eastAsia="ru-RU"/>
        </w:rPr>
        <w:t xml:space="preserve">йортКазан </w:t>
      </w:r>
      <w:r>
        <w:rPr>
          <w:rStyle w:val="CharStyle9"/>
        </w:rPr>
        <w:t>шәһәре, 420021</w:t>
        <w:br/>
      </w:r>
      <w:r>
        <w:rPr>
          <w:rStyle w:val="CharStyle9"/>
          <w:lang w:val="ru-RU" w:eastAsia="ru-RU"/>
        </w:rPr>
        <w:t xml:space="preserve">тел.: </w:t>
      </w:r>
      <w:r>
        <w:rPr>
          <w:rStyle w:val="CharStyle9"/>
        </w:rPr>
        <w:t xml:space="preserve">(843) 236-89-22, </w:t>
      </w:r>
      <w:r>
        <w:rPr>
          <w:rStyle w:val="CharStyle9"/>
          <w:lang w:val="ru-RU" w:eastAsia="ru-RU"/>
        </w:rPr>
        <w:t xml:space="preserve">факс </w:t>
      </w:r>
      <w:r>
        <w:rPr>
          <w:rStyle w:val="CharStyle9"/>
        </w:rPr>
        <w:t>(843) 238-19-46</w:t>
        <w:br/>
        <w:t xml:space="preserve">e-mail: </w:t>
      </w:r>
      <w:r>
        <w:fldChar w:fldCharType="begin"/>
      </w:r>
      <w:r>
        <w:rPr/>
        <w:instrText> HYPERLINK "mailto:to16@fas.gov.ru" </w:instrText>
      </w:r>
      <w:r>
        <w:fldChar w:fldCharType="separate"/>
      </w:r>
      <w:r>
        <w:rPr>
          <w:rStyle w:val="CharStyle9"/>
        </w:rPr>
        <w:t>to16@fas.gov.ru</w:t>
      </w:r>
      <w:r>
        <w:fldChar w:fldCharType="end"/>
      </w:r>
    </w:p>
    <w:p>
      <w:pPr>
        <w:pStyle w:val="Style2"/>
        <w:keepNext w:val="0"/>
        <w:keepLines w:val="0"/>
        <w:widowControl w:val="0"/>
        <w:shd w:val="clear" w:color="auto" w:fill="auto"/>
        <w:bidi w:val="0"/>
        <w:spacing w:before="0" w:after="0" w:line="240" w:lineRule="auto"/>
        <w:ind w:left="5120" w:right="0" w:firstLine="0"/>
        <w:jc w:val="both"/>
      </w:pPr>
      <w:r>
        <w:rPr>
          <w:rStyle w:val="CharStyle3"/>
        </w:rPr>
        <w:t>Заказчику:</w:t>
      </w:r>
    </w:p>
    <w:p>
      <w:pPr>
        <w:pStyle w:val="Style2"/>
        <w:keepNext w:val="0"/>
        <w:keepLines w:val="0"/>
        <w:widowControl w:val="0"/>
        <w:shd w:val="clear" w:color="auto" w:fill="auto"/>
        <w:bidi w:val="0"/>
        <w:spacing w:before="0" w:after="300" w:line="240" w:lineRule="auto"/>
        <w:ind w:left="5120" w:right="0" w:firstLine="0"/>
        <w:jc w:val="both"/>
      </w:pPr>
      <w:r>
        <w:rPr>
          <w:rStyle w:val="CharStyle3"/>
        </w:rPr>
        <w:t xml:space="preserve">ГАУЗ РТ «БСМП им. Р.С. Акчурина» </w:t>
      </w:r>
      <w:r>
        <w:fldChar w:fldCharType="begin"/>
      </w:r>
      <w:r>
        <w:rPr/>
        <w:instrText> HYPERLINK "mailto:bsmpdogovor@mail.ru" </w:instrText>
      </w:r>
      <w:r>
        <w:fldChar w:fldCharType="separate"/>
      </w:r>
      <w:r>
        <w:rPr>
          <w:rStyle w:val="CharStyle3"/>
          <w:lang w:val="en-US" w:eastAsia="en-US"/>
        </w:rPr>
        <w:t>bsmpdogovor@mail.ru</w:t>
      </w:r>
      <w:r>
        <w:fldChar w:fldCharType="end"/>
      </w:r>
    </w:p>
    <w:p>
      <w:pPr>
        <w:pStyle w:val="Style2"/>
        <w:keepNext w:val="0"/>
        <w:keepLines w:val="0"/>
        <w:widowControl w:val="0"/>
        <w:shd w:val="clear" w:color="auto" w:fill="auto"/>
        <w:bidi w:val="0"/>
        <w:spacing w:before="0" w:after="0" w:line="240" w:lineRule="auto"/>
        <w:ind w:left="5120" w:right="0" w:firstLine="0"/>
        <w:jc w:val="both"/>
      </w:pPr>
      <w:r>
        <w:rPr>
          <w:rStyle w:val="CharStyle3"/>
        </w:rPr>
        <w:t>Заявителю:</w:t>
      </w:r>
    </w:p>
    <w:p>
      <w:pPr>
        <w:pStyle w:val="Style2"/>
        <w:keepNext w:val="0"/>
        <w:keepLines w:val="0"/>
        <w:widowControl w:val="0"/>
        <w:shd w:val="clear" w:color="auto" w:fill="auto"/>
        <w:bidi w:val="0"/>
        <w:spacing w:before="0" w:after="0" w:line="240" w:lineRule="auto"/>
        <w:ind w:left="5120" w:right="0" w:firstLine="0"/>
        <w:jc w:val="both"/>
      </w:pPr>
      <w:r>
        <w:rPr>
          <w:rStyle w:val="CharStyle3"/>
        </w:rPr>
        <w:t>ООО «Торгмед»</w:t>
      </w:r>
    </w:p>
    <w:p>
      <w:pPr>
        <w:pStyle w:val="Style2"/>
        <w:keepNext w:val="0"/>
        <w:keepLines w:val="0"/>
        <w:widowControl w:val="0"/>
        <w:shd w:val="clear" w:color="auto" w:fill="auto"/>
        <w:bidi w:val="0"/>
        <w:spacing w:before="0" w:after="300" w:line="240" w:lineRule="auto"/>
        <w:ind w:left="5120" w:right="0" w:firstLine="0"/>
        <w:jc w:val="both"/>
      </w:pPr>
      <w:r>
        <w:fldChar w:fldCharType="begin"/>
      </w:r>
      <w:r>
        <w:rPr/>
        <w:instrText> HYPERLINK "mailto:torgmed.torgmed@mail.ru" </w:instrText>
      </w:r>
      <w:r>
        <w:fldChar w:fldCharType="separate"/>
      </w:r>
      <w:r>
        <w:rPr>
          <w:rStyle w:val="CharStyle3"/>
          <w:lang w:val="en-US" w:eastAsia="en-US"/>
        </w:rPr>
        <w:t>torgmed.torgmed@mail.ru</w:t>
      </w:r>
      <w:r>
        <w:fldChar w:fldCharType="end"/>
      </w:r>
    </w:p>
    <w:p>
      <w:pPr>
        <w:pStyle w:val="Style2"/>
        <w:keepNext w:val="0"/>
        <w:keepLines w:val="0"/>
        <w:widowControl w:val="0"/>
        <w:shd w:val="clear" w:color="auto" w:fill="auto"/>
        <w:bidi w:val="0"/>
        <w:spacing w:before="0" w:after="300" w:line="240" w:lineRule="auto"/>
        <w:ind w:left="0" w:right="0" w:firstLine="0"/>
        <w:jc w:val="center"/>
      </w:pPr>
      <w:r>
        <w:rPr>
          <w:rStyle w:val="CharStyle3"/>
          <w:b/>
          <w:bCs/>
        </w:rPr>
        <w:t xml:space="preserve">Решение по делу </w:t>
      </w:r>
      <w:r>
        <w:rPr>
          <w:rStyle w:val="CharStyle3"/>
          <w:b/>
          <w:bCs/>
          <w:lang w:val="en-US" w:eastAsia="en-US"/>
        </w:rPr>
        <w:t>№016/06/33-574/2026</w:t>
      </w:r>
    </w:p>
    <w:p>
      <w:pPr>
        <w:pStyle w:val="Style2"/>
        <w:keepNext w:val="0"/>
        <w:keepLines w:val="0"/>
        <w:widowControl w:val="0"/>
        <w:shd w:val="clear" w:color="auto" w:fill="auto"/>
        <w:tabs>
          <w:tab w:pos="8770" w:val="left"/>
        </w:tabs>
        <w:bidi w:val="0"/>
        <w:spacing w:before="0" w:after="300" w:line="240" w:lineRule="auto"/>
        <w:ind w:left="0" w:right="0" w:firstLine="0"/>
        <w:jc w:val="both"/>
      </w:pPr>
      <w:r>
        <w:rPr>
          <w:rStyle w:val="CharStyle3"/>
          <w:lang w:val="en-US" w:eastAsia="en-US"/>
        </w:rPr>
        <w:t xml:space="preserve">29 </w:t>
      </w:r>
      <w:r>
        <w:rPr>
          <w:rStyle w:val="CharStyle3"/>
        </w:rPr>
        <w:t xml:space="preserve">апреля </w:t>
      </w:r>
      <w:r>
        <w:rPr>
          <w:rStyle w:val="CharStyle3"/>
          <w:lang w:val="en-US" w:eastAsia="en-US"/>
        </w:rPr>
        <w:t xml:space="preserve">2026 </w:t>
      </w:r>
      <w:r>
        <w:rPr>
          <w:rStyle w:val="CharStyle3"/>
        </w:rPr>
        <w:t>года</w:t>
        <w:tab/>
        <w:t>г. Казань</w:t>
      </w:r>
    </w:p>
    <w:p>
      <w:pPr>
        <w:pStyle w:val="Style2"/>
        <w:keepNext w:val="0"/>
        <w:keepLines w:val="0"/>
        <w:widowControl w:val="0"/>
        <w:shd w:val="clear" w:color="auto" w:fill="auto"/>
        <w:bidi w:val="0"/>
        <w:spacing w:before="0" w:after="0" w:line="240" w:lineRule="auto"/>
        <w:ind w:left="0" w:right="0" w:firstLine="720"/>
        <w:jc w:val="both"/>
        <w:rPr>
          <w:sz w:val="24"/>
          <w:szCs w:val="24"/>
        </w:rPr>
      </w:pPr>
      <w:r>
        <w:rPr>
          <w:rStyle w:val="CharStyle3"/>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Комиссия) в составе</w:t>
      </w:r>
      <w:r>
        <w:rPr>
          <w:rStyle w:val="CharStyle3"/>
          <w:sz w:val="24"/>
          <w:szCs w:val="24"/>
        </w:rPr>
        <w:t>:</w:t>
      </w:r>
    </w:p>
    <w:p>
      <w:pPr>
        <w:pStyle w:val="Style2"/>
        <w:keepNext w:val="0"/>
        <w:keepLines w:val="0"/>
        <w:widowControl w:val="0"/>
        <w:shd w:val="clear" w:color="auto" w:fill="auto"/>
        <w:tabs>
          <w:tab w:pos="6084" w:val="left"/>
        </w:tabs>
        <w:bidi w:val="0"/>
        <w:spacing w:before="0" w:after="140" w:line="240" w:lineRule="auto"/>
        <w:ind w:left="0" w:right="0" w:firstLine="840"/>
        <w:jc w:val="both"/>
      </w:pPr>
      <w:r>
        <w:rPr>
          <w:rStyle w:val="CharStyle3"/>
        </w:rPr>
        <w:t>Зам. председателя Комиссии:</w:t>
        <w:tab/>
        <w:t xml:space="preserve">А.С. Кучеевой </w:t>
      </w:r>
      <w:r>
        <w:rPr>
          <w:rStyle w:val="CharStyle3"/>
          <w:lang w:val="en-US" w:eastAsia="en-US"/>
        </w:rPr>
        <w:t xml:space="preserve">– </w:t>
      </w:r>
      <w:r>
        <w:rPr>
          <w:rStyle w:val="CharStyle3"/>
        </w:rPr>
        <w:t>начальник отдела,</w:t>
      </w:r>
    </w:p>
    <w:p>
      <w:pPr>
        <w:pStyle w:val="Style2"/>
        <w:keepNext w:val="0"/>
        <w:keepLines w:val="0"/>
        <w:widowControl w:val="0"/>
        <w:shd w:val="clear" w:color="auto" w:fill="auto"/>
        <w:tabs>
          <w:tab w:pos="6084" w:val="left"/>
        </w:tabs>
        <w:bidi w:val="0"/>
        <w:spacing w:before="0" w:after="0" w:line="240" w:lineRule="auto"/>
        <w:ind w:left="0" w:right="0" w:firstLine="840"/>
        <w:jc w:val="both"/>
      </w:pPr>
      <w:r>
        <w:rPr>
          <w:rStyle w:val="CharStyle3"/>
        </w:rPr>
        <w:t>Членов Комиссии:</w:t>
        <w:tab/>
        <w:t xml:space="preserve">Э.И. Абдуллиной </w:t>
      </w:r>
      <w:r>
        <w:rPr>
          <w:rStyle w:val="CharStyle3"/>
          <w:lang w:val="en-US" w:eastAsia="en-US"/>
        </w:rPr>
        <w:t xml:space="preserve">– </w:t>
      </w:r>
      <w:r>
        <w:rPr>
          <w:rStyle w:val="CharStyle3"/>
        </w:rPr>
        <w:t>ведущего</w:t>
      </w:r>
    </w:p>
    <w:p>
      <w:pPr>
        <w:pStyle w:val="Style2"/>
        <w:keepNext w:val="0"/>
        <w:keepLines w:val="0"/>
        <w:widowControl w:val="0"/>
        <w:shd w:val="clear" w:color="auto" w:fill="auto"/>
        <w:bidi w:val="0"/>
        <w:spacing w:before="0" w:after="0" w:line="240" w:lineRule="auto"/>
        <w:ind w:left="6080" w:right="0" w:firstLine="0"/>
        <w:jc w:val="both"/>
      </w:pPr>
      <w:r>
        <w:rPr>
          <w:rStyle w:val="CharStyle3"/>
        </w:rPr>
        <w:t>специалиста-эксперта,</w:t>
      </w:r>
    </w:p>
    <w:p>
      <w:pPr>
        <w:pStyle w:val="Style2"/>
        <w:keepNext w:val="0"/>
        <w:keepLines w:val="0"/>
        <w:widowControl w:val="0"/>
        <w:shd w:val="clear" w:color="auto" w:fill="auto"/>
        <w:bidi w:val="0"/>
        <w:spacing w:before="0" w:after="0" w:line="240" w:lineRule="auto"/>
        <w:ind w:left="6080" w:right="0" w:firstLine="0"/>
        <w:jc w:val="both"/>
      </w:pPr>
      <w:r>
        <w:rPr>
          <w:rStyle w:val="CharStyle3"/>
        </w:rPr>
        <w:t xml:space="preserve">Е.С. Николашиной </w:t>
      </w:r>
      <w:r>
        <w:rPr>
          <w:rStyle w:val="CharStyle3"/>
          <w:lang w:val="en-US" w:eastAsia="en-US"/>
        </w:rPr>
        <w:t xml:space="preserve">– </w:t>
      </w:r>
      <w:r>
        <w:rPr>
          <w:rStyle w:val="CharStyle3"/>
        </w:rPr>
        <w:t>специалиста</w:t>
      </w:r>
    </w:p>
    <w:p>
      <w:pPr>
        <w:pStyle w:val="Style2"/>
        <w:keepNext w:val="0"/>
        <w:keepLines w:val="0"/>
        <w:widowControl w:val="0"/>
        <w:numPr>
          <w:ilvl w:val="0"/>
          <w:numId w:val="1"/>
        </w:numPr>
        <w:shd w:val="clear" w:color="auto" w:fill="auto"/>
        <w:tabs>
          <w:tab w:pos="6352" w:val="left"/>
        </w:tabs>
        <w:bidi w:val="0"/>
        <w:spacing w:before="0" w:after="0" w:line="240" w:lineRule="auto"/>
        <w:ind w:left="6080" w:right="0" w:firstLine="0"/>
        <w:jc w:val="both"/>
      </w:pPr>
      <w:r>
        <w:rPr>
          <w:rStyle w:val="CharStyle3"/>
        </w:rPr>
        <w:t>разряда,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рассмотрев жалобу заявителя ООО «Торгмед» (вх. №3771/ж от </w:t>
      </w:r>
      <w:r>
        <w:rPr>
          <w:rStyle w:val="CharStyle3"/>
          <w:lang w:val="en-US" w:eastAsia="en-US"/>
        </w:rPr>
        <w:t xml:space="preserve">23.04.2026, </w:t>
      </w:r>
      <w:r>
        <w:rPr>
          <w:rStyle w:val="CharStyle3"/>
        </w:rPr>
        <w:t xml:space="preserve">ЕИС от </w:t>
      </w:r>
      <w:r>
        <w:rPr>
          <w:rStyle w:val="CharStyle3"/>
          <w:lang w:val="en-US" w:eastAsia="en-US"/>
        </w:rPr>
        <w:t xml:space="preserve">22.04.2026) </w:t>
      </w:r>
      <w:r>
        <w:rPr>
          <w:rStyle w:val="CharStyle3"/>
        </w:rPr>
        <w:t xml:space="preserve">на действия Заказчика </w:t>
      </w:r>
      <w:r>
        <w:rPr>
          <w:rStyle w:val="CharStyle3"/>
          <w:lang w:val="en-US" w:eastAsia="en-US"/>
        </w:rPr>
        <w:t xml:space="preserve">- </w:t>
      </w:r>
      <w:r>
        <w:rPr>
          <w:rStyle w:val="CharStyle3"/>
        </w:rPr>
        <w:t xml:space="preserve">ГАУЗ РТ «БСМП им. Р.С. Акчурина» при проведении закупки </w:t>
      </w:r>
      <w:r>
        <w:rPr>
          <w:rStyle w:val="CharStyle3"/>
          <w:lang w:val="en-US" w:eastAsia="en-US"/>
        </w:rPr>
        <w:t xml:space="preserve">№0711200024126000095 </w:t>
      </w:r>
      <w:r>
        <w:rPr>
          <w:rStyle w:val="CharStyle3"/>
        </w:rPr>
        <w:t>на предмет: «Поставка медицинских расходных материалов для травматолого-ортопедического отделения ГАУЗ РТ «БСМП им. Р.С.Акчурина» на 2026г»,</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присутствии представителей: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Заказчика </w:t>
      </w:r>
      <w:r>
        <w:rPr>
          <w:rStyle w:val="CharStyle3"/>
          <w:lang w:val="en-US" w:eastAsia="en-US"/>
        </w:rPr>
        <w:t xml:space="preserve">– </w:t>
      </w:r>
      <w:r>
        <w:rPr>
          <w:rStyle w:val="CharStyle3"/>
        </w:rPr>
        <w:t>Амакасовой С.У., Балабанова Е.С. (по доверенности).</w:t>
      </w:r>
    </w:p>
    <w:p>
      <w:pPr>
        <w:pStyle w:val="Style2"/>
        <w:keepNext w:val="0"/>
        <w:keepLines w:val="0"/>
        <w:widowControl w:val="0"/>
        <w:shd w:val="clear" w:color="auto" w:fill="auto"/>
        <w:bidi w:val="0"/>
        <w:spacing w:before="0" w:after="300" w:line="240" w:lineRule="auto"/>
        <w:ind w:left="0" w:right="0" w:firstLine="720"/>
        <w:jc w:val="both"/>
      </w:pPr>
      <w:r>
        <w:rPr>
          <w:rStyle w:val="CharStyle3"/>
        </w:rPr>
        <w:t xml:space="preserve">Заявителя </w:t>
      </w:r>
      <w:r>
        <w:rPr>
          <w:rStyle w:val="CharStyle3"/>
          <w:lang w:val="en-US" w:eastAsia="en-US"/>
        </w:rPr>
        <w:t xml:space="preserve">– </w:t>
      </w:r>
      <w:r>
        <w:rPr>
          <w:rStyle w:val="CharStyle3"/>
        </w:rPr>
        <w:t>Шафигуллиной Л.К. (по доверенности).</w:t>
      </w:r>
    </w:p>
    <w:p>
      <w:pPr>
        <w:pStyle w:val="Style2"/>
        <w:keepNext w:val="0"/>
        <w:keepLines w:val="0"/>
        <w:widowControl w:val="0"/>
        <w:shd w:val="clear" w:color="auto" w:fill="auto"/>
        <w:bidi w:val="0"/>
        <w:spacing w:before="0" w:after="300" w:line="240" w:lineRule="auto"/>
        <w:ind w:left="0" w:right="0" w:firstLine="0"/>
        <w:jc w:val="center"/>
      </w:pPr>
      <w:r>
        <w:rPr>
          <w:rStyle w:val="CharStyle3"/>
        </w:rPr>
        <w:t>У С Т А Н О В И Л 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Извещение о проведении запроса котировок </w:t>
      </w:r>
      <w:r>
        <w:rPr>
          <w:rStyle w:val="CharStyle3"/>
          <w:lang w:val="en-US" w:eastAsia="en-US"/>
        </w:rPr>
        <w:t xml:space="preserve">№0711200024126000095 </w:t>
      </w:r>
      <w:r>
        <w:rPr>
          <w:rStyle w:val="CharStyle3"/>
        </w:rPr>
        <w:t xml:space="preserve">на предмет: «Поставка медицинских расходных материалов для травматолого-ортопедического отделения ГАУЗ РТ «БСМП им. Р.С.Акчурина» на 2026г» размещено на официальном сайте Российской Федерации для размещения информации о размещении заказов </w:t>
      </w:r>
      <w:r>
        <w:fldChar w:fldCharType="begin"/>
      </w:r>
      <w:r>
        <w:rPr/>
        <w:instrText> HYPERLINK "http://www.zakupki.gov.ru/" </w:instrText>
      </w:r>
      <w:r>
        <w:fldChar w:fldCharType="separate"/>
      </w:r>
      <w:r>
        <w:rPr>
          <w:rStyle w:val="CharStyle3"/>
          <w:color w:val="0000FF"/>
          <w:u w:val="single"/>
          <w:lang w:val="en-US" w:eastAsia="en-US"/>
        </w:rPr>
        <w:t>www.zakupki.gov.ru</w:t>
      </w:r>
      <w:r>
        <w:rPr>
          <w:rStyle w:val="CharStyle3"/>
          <w:color w:val="0000FF"/>
          <w:lang w:val="en-US" w:eastAsia="en-US"/>
        </w:rPr>
        <w:t xml:space="preserve"> </w:t>
      </w:r>
      <w:r>
        <w:fldChar w:fldCharType="end"/>
      </w:r>
      <w:r>
        <w:rPr>
          <w:rStyle w:val="CharStyle3"/>
          <w:lang w:val="en-US" w:eastAsia="en-US"/>
        </w:rPr>
        <w:t xml:space="preserve">17.04.2026 </w:t>
      </w:r>
      <w:r>
        <w:rPr>
          <w:rStyle w:val="CharStyle3"/>
        </w:rPr>
        <w:t>г.</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Начальная максимальная цена </w:t>
      </w:r>
      <w:r>
        <w:rPr>
          <w:rStyle w:val="CharStyle3"/>
          <w:lang w:val="en-US" w:eastAsia="en-US"/>
        </w:rPr>
        <w:t xml:space="preserve">- 1 200 600,00 </w:t>
      </w:r>
      <w:r>
        <w:rPr>
          <w:rStyle w:val="CharStyle3"/>
        </w:rPr>
        <w:t>рублей.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Комиссия Татарстанского УФАС России по результатам рассмотрения доводов заявителя, позиции заказчика и изучения документации закупки приходит к следующим выводам.</w:t>
      </w:r>
    </w:p>
    <w:p>
      <w:pPr>
        <w:pStyle w:val="Style2"/>
        <w:keepNext w:val="0"/>
        <w:keepLines w:val="0"/>
        <w:widowControl w:val="0"/>
        <w:numPr>
          <w:ilvl w:val="0"/>
          <w:numId w:val="3"/>
        </w:numPr>
        <w:shd w:val="clear" w:color="auto" w:fill="auto"/>
        <w:tabs>
          <w:tab w:pos="937" w:val="left"/>
        </w:tabs>
        <w:bidi w:val="0"/>
        <w:spacing w:before="0" w:after="0" w:line="240" w:lineRule="auto"/>
        <w:ind w:left="0" w:right="0" w:firstLine="720"/>
        <w:jc w:val="both"/>
      </w:pPr>
      <w:r>
        <w:rPr>
          <w:rStyle w:val="CharStyle3"/>
          <w:i/>
          <w:iCs/>
          <w:lang w:val="en-US" w:eastAsia="en-US"/>
        </w:rPr>
        <w:t xml:space="preserve">. </w:t>
      </w:r>
      <w:r>
        <w:rPr>
          <w:rStyle w:val="CharStyle3"/>
          <w:i/>
          <w:iCs/>
        </w:rPr>
        <w:t>Согласно доводу жалобы Заказчиком неправомерно объединены в один лот медицинские изделия различных производителей.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пункта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пункту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Пунктом </w:t>
      </w:r>
      <w:r>
        <w:rPr>
          <w:rStyle w:val="CharStyle3"/>
          <w:lang w:val="en-US" w:eastAsia="en-US"/>
        </w:rPr>
        <w:t xml:space="preserve">2 </w:t>
      </w:r>
      <w:r>
        <w:rPr>
          <w:rStyle w:val="CharStyle3"/>
        </w:rPr>
        <w:t xml:space="preserve">части </w:t>
      </w:r>
      <w:r>
        <w:rPr>
          <w:rStyle w:val="CharStyle3"/>
          <w:lang w:val="en-US" w:eastAsia="en-US"/>
        </w:rPr>
        <w:t xml:space="preserve">29 </w:t>
      </w:r>
      <w:r>
        <w:rPr>
          <w:rStyle w:val="CharStyle3"/>
        </w:rPr>
        <w:t xml:space="preserve">статьи </w:t>
      </w:r>
      <w:r>
        <w:rPr>
          <w:rStyle w:val="CharStyle3"/>
          <w:lang w:val="en-US" w:eastAsia="en-US"/>
        </w:rPr>
        <w:t xml:space="preserve">34 </w:t>
      </w:r>
      <w:r>
        <w:rPr>
          <w:rStyle w:val="CharStyle3"/>
        </w:rPr>
        <w:t>Закона о контрактной системе установлено, что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Пунктом </w:t>
      </w:r>
      <w:r>
        <w:rPr>
          <w:rStyle w:val="CharStyle3"/>
          <w:lang w:val="en-US" w:eastAsia="en-US"/>
        </w:rPr>
        <w:t xml:space="preserve">1 </w:t>
      </w:r>
      <w:r>
        <w:rPr>
          <w:rStyle w:val="CharStyle3"/>
        </w:rPr>
        <w:t xml:space="preserve">Постановления Правительства РФ от </w:t>
      </w:r>
      <w:r>
        <w:rPr>
          <w:rStyle w:val="CharStyle3"/>
          <w:lang w:val="en-US" w:eastAsia="en-US"/>
        </w:rPr>
        <w:t xml:space="preserve">19.04.2021 № 620 </w:t>
      </w:r>
      <w:r>
        <w:rPr>
          <w:rStyle w:val="CharStyle3"/>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№620) </w:t>
      </w:r>
      <w:r>
        <w:rPr>
          <w:rStyle w:val="CharStyle3"/>
        </w:rPr>
        <w:t>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2"/>
        <w:keepNext w:val="0"/>
        <w:keepLines w:val="0"/>
        <w:widowControl w:val="0"/>
        <w:numPr>
          <w:ilvl w:val="0"/>
          <w:numId w:val="5"/>
        </w:numPr>
        <w:shd w:val="clear" w:color="auto" w:fill="auto"/>
        <w:tabs>
          <w:tab w:pos="1291" w:val="left"/>
        </w:tabs>
        <w:bidi w:val="0"/>
        <w:spacing w:before="0" w:after="0" w:line="240" w:lineRule="auto"/>
        <w:ind w:left="0" w:right="0" w:firstLine="720"/>
        <w:jc w:val="both"/>
      </w:pPr>
      <w:r>
        <w:rPr>
          <w:rStyle w:val="CharStyle3"/>
        </w:rPr>
        <w:t xml:space="preserve">тыс. рублей </w:t>
      </w:r>
      <w:r>
        <w:rPr>
          <w:rStyle w:val="CharStyle3"/>
          <w:lang w:val="en-US" w:eastAsia="en-US"/>
        </w:rPr>
        <w:t xml:space="preserve">- </w:t>
      </w:r>
      <w:r>
        <w:rPr>
          <w:rStyle w:val="CharStyle3"/>
        </w:rPr>
        <w:t xml:space="preserve">для заказчиков, у которых объем денежных средств, направленных на закупку медицинских изделий в предшествующем году, составил менее </w:t>
      </w:r>
      <w:r>
        <w:rPr>
          <w:rStyle w:val="CharStyle3"/>
          <w:lang w:val="en-US" w:eastAsia="en-US"/>
        </w:rPr>
        <w:t xml:space="preserve">50 </w:t>
      </w:r>
      <w:r>
        <w:rPr>
          <w:rStyle w:val="CharStyle3"/>
        </w:rPr>
        <w:t>млн. рублей;</w:t>
      </w:r>
    </w:p>
    <w:p>
      <w:pPr>
        <w:pStyle w:val="Style2"/>
        <w:keepNext w:val="0"/>
        <w:keepLines w:val="0"/>
        <w:widowControl w:val="0"/>
        <w:numPr>
          <w:ilvl w:val="0"/>
          <w:numId w:val="7"/>
        </w:numPr>
        <w:shd w:val="clear" w:color="auto" w:fill="auto"/>
        <w:tabs>
          <w:tab w:pos="918" w:val="left"/>
        </w:tabs>
        <w:bidi w:val="0"/>
        <w:spacing w:before="0" w:after="0" w:line="240" w:lineRule="auto"/>
        <w:ind w:left="0" w:right="0" w:firstLine="720"/>
        <w:jc w:val="both"/>
      </w:pPr>
      <w:r>
        <w:rPr>
          <w:rStyle w:val="CharStyle3"/>
        </w:rPr>
        <w:t xml:space="preserve">млн. рублей </w:t>
      </w:r>
      <w:r>
        <w:rPr>
          <w:rStyle w:val="CharStyle3"/>
          <w:lang w:val="en-US" w:eastAsia="en-US"/>
        </w:rPr>
        <w:t xml:space="preserve">- </w:t>
      </w:r>
      <w:r>
        <w:rPr>
          <w:rStyle w:val="CharStyle3"/>
        </w:rPr>
        <w:t xml:space="preserve">для заказчиков, у которых объем денежных средств, направленных на закупку медицинских изделий в предшествующем году, составил от </w:t>
      </w:r>
      <w:r>
        <w:rPr>
          <w:rStyle w:val="CharStyle3"/>
          <w:lang w:val="en-US" w:eastAsia="en-US"/>
        </w:rPr>
        <w:t xml:space="preserve">50 </w:t>
      </w:r>
      <w:r>
        <w:rPr>
          <w:rStyle w:val="CharStyle3"/>
        </w:rPr>
        <w:t xml:space="preserve">млн. рублей до </w:t>
      </w:r>
      <w:r>
        <w:rPr>
          <w:rStyle w:val="CharStyle3"/>
          <w:lang w:val="en-US" w:eastAsia="en-US"/>
        </w:rPr>
        <w:t xml:space="preserve">100 </w:t>
      </w:r>
      <w:r>
        <w:rPr>
          <w:rStyle w:val="CharStyle3"/>
        </w:rPr>
        <w:t>млн. рублей;</w:t>
      </w:r>
    </w:p>
    <w:p>
      <w:pPr>
        <w:pStyle w:val="Style2"/>
        <w:keepNext w:val="0"/>
        <w:keepLines w:val="0"/>
        <w:widowControl w:val="0"/>
        <w:numPr>
          <w:ilvl w:val="0"/>
          <w:numId w:val="7"/>
        </w:numPr>
        <w:shd w:val="clear" w:color="auto" w:fill="auto"/>
        <w:tabs>
          <w:tab w:pos="918" w:val="left"/>
        </w:tabs>
        <w:bidi w:val="0"/>
        <w:spacing w:before="0" w:after="0" w:line="240" w:lineRule="auto"/>
        <w:ind w:left="0" w:right="0" w:firstLine="720"/>
        <w:jc w:val="both"/>
      </w:pPr>
      <w:r>
        <w:rPr>
          <w:rStyle w:val="CharStyle3"/>
          <w:lang w:val="en-US" w:eastAsia="en-US"/>
        </w:rPr>
        <w:t xml:space="preserve">,5 </w:t>
      </w:r>
      <w:r>
        <w:rPr>
          <w:rStyle w:val="CharStyle3"/>
        </w:rPr>
        <w:t xml:space="preserve">млн. рублей </w:t>
      </w:r>
      <w:r>
        <w:rPr>
          <w:rStyle w:val="CharStyle3"/>
          <w:lang w:val="en-US" w:eastAsia="en-US"/>
        </w:rPr>
        <w:t xml:space="preserve">- </w:t>
      </w:r>
      <w:r>
        <w:rPr>
          <w:rStyle w:val="CharStyle3"/>
        </w:rPr>
        <w:t xml:space="preserve">для заказчиков, у которых объем денежных средств, направленных на закупку медицинских изделий в предшествующем году, составил более </w:t>
      </w:r>
      <w:r>
        <w:rPr>
          <w:rStyle w:val="CharStyle3"/>
          <w:lang w:val="en-US" w:eastAsia="en-US"/>
        </w:rPr>
        <w:t xml:space="preserve">100 </w:t>
      </w:r>
      <w:r>
        <w:rPr>
          <w:rStyle w:val="CharStyle3"/>
        </w:rPr>
        <w:t>млн. рублей.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 этом пунктом </w:t>
      </w:r>
      <w:r>
        <w:rPr>
          <w:rStyle w:val="CharStyle3"/>
          <w:lang w:val="en-US" w:eastAsia="en-US"/>
        </w:rPr>
        <w:t xml:space="preserve">2 </w:t>
      </w:r>
      <w:r>
        <w:rPr>
          <w:rStyle w:val="CharStyle3"/>
        </w:rPr>
        <w:t xml:space="preserve">Постановления </w:t>
      </w:r>
      <w:r>
        <w:rPr>
          <w:rStyle w:val="CharStyle3"/>
          <w:lang w:val="en-US" w:eastAsia="en-US"/>
        </w:rPr>
        <w:t xml:space="preserve">№620 </w:t>
      </w:r>
      <w:r>
        <w:rPr>
          <w:rStyle w:val="CharStyle3"/>
        </w:rPr>
        <w:t xml:space="preserve">установлено, что указанное в пункте </w:t>
      </w:r>
      <w:r>
        <w:rPr>
          <w:rStyle w:val="CharStyle3"/>
          <w:lang w:val="en-US" w:eastAsia="en-US"/>
        </w:rPr>
        <w:t xml:space="preserve">1 </w:t>
      </w:r>
      <w:r>
        <w:rPr>
          <w:rStyle w:val="CharStyle3"/>
        </w:rPr>
        <w:t xml:space="preserve">Постановления </w:t>
      </w:r>
      <w:r>
        <w:rPr>
          <w:rStyle w:val="CharStyle3"/>
          <w:lang w:val="en-US" w:eastAsia="en-US"/>
        </w:rPr>
        <w:t xml:space="preserve">№620 </w:t>
      </w:r>
      <w:r>
        <w:rPr>
          <w:rStyle w:val="CharStyle3"/>
        </w:rPr>
        <w:t>требование не применяется: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 при закупках медицинских изделий, объединенных в один лот (контракт) с расходными материалами, которые совместимы с такими медицинскими изделиями; 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w:t>
      </w:r>
      <w:r>
        <w:rPr>
          <w:rStyle w:val="CharStyle3"/>
          <w:lang w:val="en-US" w:eastAsia="en-US"/>
        </w:rPr>
        <w:t xml:space="preserve">111.4 </w:t>
      </w:r>
      <w:r>
        <w:rPr>
          <w:rStyle w:val="CharStyle3"/>
        </w:rPr>
        <w:t>Закона о контрактной системе.</w:t>
      </w:r>
      <w:r>
        <w:br w:type="page"/>
      </w:r>
    </w:p>
    <w:p>
      <w:pPr>
        <w:pStyle w:val="Style20"/>
        <w:keepNext w:val="0"/>
        <w:keepLines w:val="0"/>
        <w:widowControl w:val="0"/>
        <w:shd w:val="clear" w:color="auto" w:fill="auto"/>
        <w:bidi w:val="0"/>
        <w:spacing w:before="0" w:after="0" w:line="240" w:lineRule="auto"/>
        <w:ind w:left="0" w:right="0" w:firstLine="0"/>
        <w:jc w:val="both"/>
      </w:pPr>
      <w:r>
        <w:rPr>
          <w:rStyle w:val="CharStyle21"/>
        </w:rPr>
        <w:t>Согласно описанию объекта закупки в рассматриваемом случае Заказчику необходима поставка следующих товаров:</w:t>
      </w:r>
    </w:p>
    <w:tbl>
      <w:tblPr>
        <w:tblOverlap w:val="never"/>
        <w:jc w:val="center"/>
        <w:tblLayout w:type="fixed"/>
      </w:tblPr>
      <w:tblGrid>
        <w:gridCol w:w="2525"/>
        <w:gridCol w:w="2098"/>
        <w:gridCol w:w="3278"/>
        <w:gridCol w:w="2261"/>
      </w:tblGrid>
      <w:tr>
        <w:trPr>
          <w:trHeight w:val="734"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Наименование товара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Наименование товара по КТРУ</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Наименование показателя товара, единица измерения</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Требование к значению показателя</w:t>
            </w:r>
          </w:p>
        </w:tc>
      </w:tr>
      <w:tr>
        <w:trPr>
          <w:trHeight w:val="773" w:hRule="exact"/>
        </w:trPr>
        <w:tc>
          <w:tcPr>
            <w:vMerge w:val="restart"/>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2"/>
                <w:szCs w:val="22"/>
              </w:rPr>
            </w:pPr>
            <w:r>
              <w:rPr>
                <w:rStyle w:val="CharStyle23"/>
                <w:sz w:val="22"/>
                <w:szCs w:val="22"/>
              </w:rPr>
              <w:t>Набор трубок для ирригации хирургический, одноразового использования</w:t>
            </w:r>
          </w:p>
        </w:tc>
        <w:tc>
          <w:tcPr>
            <w:vMerge w:val="restart"/>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2"/>
                <w:szCs w:val="22"/>
              </w:rPr>
            </w:pPr>
            <w:r>
              <w:rPr>
                <w:rStyle w:val="CharStyle23"/>
                <w:sz w:val="22"/>
                <w:szCs w:val="22"/>
              </w:rPr>
              <w:t>Набор трубок для ирригации хирургический, одноразового использования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Назначение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Для использования с системами роликовых помп</w:t>
            </w:r>
          </w:p>
        </w:tc>
      </w:tr>
      <w:tr>
        <w:trPr>
          <w:trHeight w:val="51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Встроенный мембранный блок датчика давления</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2"/>
                <w:szCs w:val="22"/>
              </w:rPr>
            </w:pPr>
            <w:r>
              <w:rPr>
                <w:rStyle w:val="CharStyle23"/>
                <w:sz w:val="22"/>
                <w:szCs w:val="22"/>
              </w:rPr>
              <w:t>наличие</w:t>
            </w:r>
          </w:p>
        </w:tc>
      </w:tr>
      <w:tr>
        <w:trPr>
          <w:trHeight w:val="49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Внутренний диаметр, мм</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600"/>
              <w:jc w:val="left"/>
              <w:rPr>
                <w:sz w:val="22"/>
                <w:szCs w:val="22"/>
              </w:rPr>
            </w:pPr>
            <w:r>
              <w:rPr>
                <w:rStyle w:val="CharStyle23"/>
                <w:sz w:val="22"/>
                <w:szCs w:val="22"/>
                <w:lang w:val="en-US" w:eastAsia="en-US"/>
              </w:rPr>
              <w:t xml:space="preserve">≥4,7 </w:t>
            </w:r>
            <w:r>
              <w:rPr>
                <w:rStyle w:val="CharStyle23"/>
                <w:sz w:val="22"/>
                <w:szCs w:val="22"/>
              </w:rPr>
              <w:t xml:space="preserve">и </w:t>
            </w:r>
            <w:r>
              <w:rPr>
                <w:rStyle w:val="CharStyle23"/>
                <w:sz w:val="22"/>
                <w:szCs w:val="22"/>
                <w:lang w:val="en-US" w:eastAsia="en-US"/>
              </w:rPr>
              <w:t>≤4,9</w:t>
            </w:r>
          </w:p>
        </w:tc>
      </w:tr>
      <w:tr>
        <w:trPr>
          <w:trHeight w:val="5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 xml:space="preserve">Совместимость с системами роликовых помп </w:t>
            </w:r>
            <w:r>
              <w:rPr>
                <w:rStyle w:val="CharStyle23"/>
                <w:sz w:val="22"/>
                <w:szCs w:val="22"/>
                <w:lang w:val="en-US" w:eastAsia="en-US"/>
              </w:rPr>
              <w:t>KARL STORZ</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260"/>
              <w:jc w:val="both"/>
              <w:rPr>
                <w:sz w:val="22"/>
                <w:szCs w:val="22"/>
              </w:rPr>
            </w:pPr>
            <w:r>
              <w:rPr>
                <w:rStyle w:val="CharStyle23"/>
                <w:sz w:val="22"/>
                <w:szCs w:val="22"/>
              </w:rPr>
              <w:t>наличие</w:t>
            </w:r>
          </w:p>
        </w:tc>
      </w:tr>
      <w:tr>
        <w:trPr>
          <w:trHeight w:val="49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Не содержится латекс</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наличие</w:t>
            </w:r>
          </w:p>
        </w:tc>
      </w:tr>
      <w:tr>
        <w:trPr>
          <w:trHeight w:val="768" w:hRule="exact"/>
        </w:trPr>
        <w:tc>
          <w:tcPr>
            <w:vMerge w:val="restart"/>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Трубка-шланг</w:t>
            </w:r>
          </w:p>
        </w:tc>
        <w:tc>
          <w:tcPr>
            <w:vMerge w:val="restart"/>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Система ирригации/инсуфф ляции артроскопическая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Назначение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Для артроскопической операции</w:t>
            </w:r>
          </w:p>
        </w:tc>
      </w:tr>
      <w:tr>
        <w:trPr>
          <w:trHeight w:val="9374"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Особенности конструкции</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 xml:space="preserve">Трубка-шланг основная к помпе артроскопической состоит из </w:t>
            </w:r>
            <w:r>
              <w:rPr>
                <w:rStyle w:val="CharStyle23"/>
                <w:sz w:val="22"/>
                <w:szCs w:val="22"/>
                <w:lang w:val="en-US" w:eastAsia="en-US"/>
              </w:rPr>
              <w:t xml:space="preserve">Y- </w:t>
            </w:r>
            <w:r>
              <w:rPr>
                <w:rStyle w:val="CharStyle23"/>
                <w:sz w:val="22"/>
                <w:szCs w:val="22"/>
              </w:rPr>
              <w:t xml:space="preserve">образного разветвления с иглами в проксимальной части, силиконовой трубки для взаимодействия с роликами помпы, капсулы контроля давления и зажимами (не менее </w:t>
            </w:r>
            <w:r>
              <w:rPr>
                <w:rStyle w:val="CharStyle23"/>
                <w:sz w:val="22"/>
                <w:szCs w:val="22"/>
                <w:lang w:val="en-US" w:eastAsia="en-US"/>
              </w:rPr>
              <w:t xml:space="preserve">3 </w:t>
            </w:r>
            <w:r>
              <w:rPr>
                <w:rStyle w:val="CharStyle23"/>
                <w:sz w:val="22"/>
                <w:szCs w:val="22"/>
              </w:rPr>
              <w:t>шт.) на концах трубок и переходника для подсоединения трубки-шланга к пациенту. Имеет зажим пластиковый с регуляцией уровня закрытия потока жидкости в трубке.</w:t>
            </w:r>
          </w:p>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 xml:space="preserve">На концах </w:t>
            </w:r>
            <w:r>
              <w:rPr>
                <w:rStyle w:val="CharStyle23"/>
                <w:sz w:val="22"/>
                <w:szCs w:val="22"/>
                <w:lang w:val="en-US" w:eastAsia="en-US"/>
              </w:rPr>
              <w:t xml:space="preserve">Y- </w:t>
            </w:r>
            <w:r>
              <w:rPr>
                <w:rStyle w:val="CharStyle23"/>
                <w:sz w:val="22"/>
                <w:szCs w:val="22"/>
              </w:rPr>
              <w:t>образного разветвления пластиковые иглы для соединения с источниками рабочей жидкости. Камера для контроля давления состоит из камеры цилиндрической формы с трубкой для измерения колебания</w:t>
            </w:r>
          </w:p>
        </w:tc>
      </w:tr>
    </w:tbl>
    <w:p>
      <w:pPr>
        <w:widowControl w:val="0"/>
        <w:spacing w:line="1" w:lineRule="exact"/>
      </w:pPr>
      <w:r>
        <w:br w:type="page"/>
      </w:r>
    </w:p>
    <w:tbl>
      <w:tblPr>
        <w:tblOverlap w:val="never"/>
        <w:jc w:val="center"/>
        <w:tblLayout w:type="fixed"/>
      </w:tblPr>
      <w:tblGrid>
        <w:gridCol w:w="2525"/>
        <w:gridCol w:w="2098"/>
        <w:gridCol w:w="3278"/>
        <w:gridCol w:w="2261"/>
      </w:tblGrid>
      <w:tr>
        <w:trPr>
          <w:trHeight w:val="2654"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давления, которая подключается к помпе</w:t>
            </w:r>
          </w:p>
        </w:tc>
      </w:tr>
      <w:tr>
        <w:trPr>
          <w:trHeight w:val="102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совместимость</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 помпами</w:t>
            </w:r>
          </w:p>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 xml:space="preserve">однопоточного и двухпоточного типа </w:t>
            </w:r>
            <w:r>
              <w:rPr>
                <w:rStyle w:val="CharStyle23"/>
                <w:sz w:val="22"/>
                <w:szCs w:val="22"/>
                <w:lang w:val="en-US" w:eastAsia="en-US"/>
              </w:rPr>
              <w:t>Arthrex Dual Wave</w:t>
            </w:r>
          </w:p>
        </w:tc>
      </w:tr>
      <w:tr>
        <w:trPr>
          <w:trHeight w:val="97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упаковка</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индивидуальная стерильная</w:t>
            </w:r>
          </w:p>
        </w:tc>
      </w:tr>
      <w:tr>
        <w:trPr>
          <w:trHeight w:val="49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Внешний диаметр, мм</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lang w:val="en-US" w:eastAsia="en-US"/>
              </w:rPr>
              <w:t>≤6,65</w:t>
            </w:r>
          </w:p>
        </w:tc>
      </w:tr>
      <w:tr>
        <w:trPr>
          <w:trHeight w:val="49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Внутренний диаметр, мм</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lang w:val="en-US" w:eastAsia="en-US"/>
              </w:rPr>
              <w:t>≥4,8</w:t>
            </w:r>
          </w:p>
        </w:tc>
      </w:tr>
      <w:tr>
        <w:trPr>
          <w:trHeight w:val="73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Применение</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одноразовое</w:t>
            </w:r>
          </w:p>
        </w:tc>
      </w:tr>
      <w:tr>
        <w:trPr>
          <w:trHeight w:val="768" w:hRule="exact"/>
        </w:trPr>
        <w:tc>
          <w:tcPr>
            <w:vMerge w:val="restart"/>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Трубка-шланг</w:t>
            </w:r>
          </w:p>
        </w:tc>
        <w:tc>
          <w:tcPr>
            <w:vMerge w:val="restart"/>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Система ирригации/инсуффл яции артроскопическая</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Назначение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Для артроскопической операции</w:t>
            </w:r>
          </w:p>
        </w:tc>
      </w:tr>
      <w:tr>
        <w:trPr>
          <w:trHeight w:val="48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Тип</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приточный</w:t>
            </w:r>
          </w:p>
        </w:tc>
      </w:tr>
      <w:tr>
        <w:trPr>
          <w:trHeight w:val="6595"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Особенности конструкции</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состоит из</w:t>
            </w:r>
          </w:p>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пластикового разъема для подключения к трубке- шлангу приточной, обратного клапана, зажима и гибкой полупрозрачной силиконовой трубки для соединения с устройством для подачи жидкости в рабочую область пациента. Зажим пластиковый с регуляцией уровня закрытия потока жидкости в трубке. Обрытый клапан изготовлен</w:t>
            </w:r>
          </w:p>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из твердого пластика, цилиндрической формы с лепестковым</w:t>
            </w:r>
          </w:p>
        </w:tc>
      </w:tr>
    </w:tbl>
    <w:p>
      <w:pPr>
        <w:widowControl w:val="0"/>
        <w:spacing w:line="1" w:lineRule="exact"/>
      </w:pPr>
      <w:r>
        <w:br w:type="page"/>
      </w:r>
    </w:p>
    <w:tbl>
      <w:tblPr>
        <w:tblOverlap w:val="never"/>
        <w:jc w:val="center"/>
        <w:tblLayout w:type="fixed"/>
      </w:tblPr>
      <w:tblGrid>
        <w:gridCol w:w="2525"/>
        <w:gridCol w:w="2098"/>
        <w:gridCol w:w="3278"/>
        <w:gridCol w:w="2261"/>
      </w:tblGrid>
      <w:tr>
        <w:trPr>
          <w:trHeight w:val="1934"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обратным клапаном</w:t>
            </w:r>
          </w:p>
        </w:tc>
      </w:tr>
      <w:tr>
        <w:trPr>
          <w:trHeight w:val="51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Тип крепления</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 xml:space="preserve">универсальный </w:t>
            </w:r>
            <w:r>
              <w:rPr>
                <w:rStyle w:val="CharStyle23"/>
                <w:sz w:val="22"/>
                <w:szCs w:val="22"/>
                <w:lang w:val="en-US" w:eastAsia="en-US"/>
              </w:rPr>
              <w:t>Luer Lock</w:t>
            </w:r>
          </w:p>
        </w:tc>
      </w:tr>
      <w:tr>
        <w:trPr>
          <w:trHeight w:val="102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совместимость</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с помпами</w:t>
            </w:r>
          </w:p>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 xml:space="preserve">однопоточного и двухпоточного типа </w:t>
            </w:r>
            <w:r>
              <w:rPr>
                <w:rStyle w:val="CharStyle23"/>
                <w:sz w:val="22"/>
                <w:szCs w:val="22"/>
                <w:lang w:val="en-US" w:eastAsia="en-US"/>
              </w:rPr>
              <w:t>Arthrex Dual Wave</w:t>
            </w:r>
          </w:p>
        </w:tc>
      </w:tr>
      <w:tr>
        <w:trPr>
          <w:trHeight w:val="86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упаковка</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индивидуальная стерильная</w:t>
            </w:r>
          </w:p>
        </w:tc>
      </w:tr>
      <w:tr>
        <w:trPr>
          <w:trHeight w:val="86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Внешний диаметр, мм</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lang w:val="en-US" w:eastAsia="en-US"/>
              </w:rPr>
              <w:t>≤6,65</w:t>
            </w:r>
          </w:p>
        </w:tc>
      </w:tr>
      <w:tr>
        <w:trPr>
          <w:trHeight w:val="86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Внутренний диаметр, мм</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lang w:val="en-US" w:eastAsia="en-US"/>
              </w:rPr>
              <w:t>≥4,8</w:t>
            </w:r>
          </w:p>
        </w:tc>
      </w:tr>
      <w:tr>
        <w:trPr>
          <w:trHeight w:val="874"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Применение</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одноразовое</w:t>
            </w:r>
          </w:p>
        </w:tc>
      </w:tr>
    </w:tbl>
    <w:p>
      <w:pPr>
        <w:pStyle w:val="Style20"/>
        <w:keepNext w:val="0"/>
        <w:keepLines w:val="0"/>
        <w:widowControl w:val="0"/>
        <w:shd w:val="clear" w:color="auto" w:fill="auto"/>
        <w:bidi w:val="0"/>
        <w:spacing w:before="0" w:after="0" w:line="240" w:lineRule="auto"/>
        <w:ind w:left="0" w:right="0" w:firstLine="0"/>
        <w:jc w:val="left"/>
        <w:rPr>
          <w:sz w:val="26"/>
          <w:szCs w:val="26"/>
        </w:rPr>
      </w:pPr>
      <w:r>
        <w:rPr>
          <w:rStyle w:val="CharStyle21"/>
          <w:sz w:val="26"/>
          <w:szCs w:val="26"/>
        </w:rPr>
        <w:t>Согласно доводам жалобы Заказчиком неправомерно объединены в один лот товары разных производителей.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пояснениям Заказчика в рамках рассматриваемой закупки к поставке необходимы расходные материалы для артроскопических вмешательств в травматолого-ортопедическом отделении, расходные материалы имеют единое функциональное значение (ирригация и инсуффляция полостей суставов) и предназначены для использования в рамках одного клинического процесса.</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выслушав пояснения сторон, изучив материалы дела приходит к следующему.</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статьи </w:t>
      </w:r>
      <w:r>
        <w:rPr>
          <w:rStyle w:val="CharStyle3"/>
          <w:lang w:val="en-US" w:eastAsia="en-US"/>
        </w:rPr>
        <w:t xml:space="preserve">38 </w:t>
      </w:r>
      <w:r>
        <w:rPr>
          <w:rStyle w:val="CharStyle3"/>
        </w:rPr>
        <w:t xml:space="preserve">Федеральный закон </w:t>
      </w:r>
      <w:r>
        <w:rPr>
          <w:rStyle w:val="CharStyle3"/>
          <w:lang w:val="en-US" w:eastAsia="en-US"/>
        </w:rPr>
        <w:t xml:space="preserve">« </w:t>
      </w:r>
      <w:r>
        <w:rPr>
          <w:rStyle w:val="CharStyle3"/>
        </w:rPr>
        <w:t xml:space="preserve">Об основах охраны здоровья граждан в Российской Федерации» от </w:t>
      </w:r>
      <w:r>
        <w:rPr>
          <w:rStyle w:val="CharStyle3"/>
          <w:lang w:val="en-US" w:eastAsia="en-US"/>
        </w:rPr>
        <w:t xml:space="preserve">21.11.2011 </w:t>
      </w:r>
      <w:r>
        <w:rPr>
          <w:rStyle w:val="CharStyle3"/>
        </w:rPr>
        <w:t xml:space="preserve">№323-ФЗ (далее по тексту </w:t>
      </w:r>
      <w:r>
        <w:rPr>
          <w:rStyle w:val="CharStyle3"/>
          <w:lang w:val="en-US" w:eastAsia="en-US"/>
        </w:rPr>
        <w:t xml:space="preserve">– </w:t>
      </w:r>
      <w:r>
        <w:rPr>
          <w:rStyle w:val="CharStyle3"/>
        </w:rPr>
        <w:t>Закон об охране здоровья граждан)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w:t>
      </w:r>
    </w:p>
    <w:p>
      <w:pPr>
        <w:pStyle w:val="Style2"/>
        <w:keepNext w:val="0"/>
        <w:keepLines w:val="0"/>
        <w:widowControl w:val="0"/>
        <w:shd w:val="clear" w:color="auto" w:fill="auto"/>
        <w:bidi w:val="0"/>
        <w:spacing w:before="0" w:after="0" w:line="240" w:lineRule="auto"/>
        <w:ind w:left="0" w:right="0" w:firstLine="0"/>
        <w:jc w:val="both"/>
      </w:pPr>
      <w:r>
        <w:rPr>
          <w:rStyle w:val="CharStyle3"/>
        </w:rPr>
        <w:t>человека.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которая, в свою очередь, утверждается уполномоченным федеральным органом исполнительной власти (пункт </w:t>
      </w:r>
      <w:r>
        <w:rPr>
          <w:rStyle w:val="CharStyle3"/>
          <w:lang w:val="en-US" w:eastAsia="en-US"/>
        </w:rPr>
        <w:t>2).</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соответствии с ГОСТ </w:t>
      </w:r>
      <w:r>
        <w:rPr>
          <w:rStyle w:val="CharStyle3"/>
          <w:lang w:val="en-US" w:eastAsia="en-US"/>
        </w:rPr>
        <w:t xml:space="preserve">IEC 62304-2022 </w:t>
      </w:r>
      <w:r>
        <w:rPr>
          <w:rStyle w:val="CharStyle3"/>
        </w:rPr>
        <w:t xml:space="preserve">медицинское изделие </w:t>
      </w:r>
      <w:r>
        <w:rPr>
          <w:rStyle w:val="CharStyle3"/>
          <w:lang w:val="en-US" w:eastAsia="en-US"/>
        </w:rPr>
        <w:t xml:space="preserve">- </w:t>
      </w:r>
      <w:r>
        <w:rPr>
          <w:rStyle w:val="CharStyle3"/>
        </w:rPr>
        <w:t xml:space="preserve">любой инструмент, аппарат, прибор, устройство, оборудование, имплантат, </w:t>
      </w:r>
      <w:r>
        <w:rPr>
          <w:rStyle w:val="CharStyle3"/>
          <w:lang w:val="en-US" w:eastAsia="en-US"/>
        </w:rPr>
        <w:t xml:space="preserve">in vitro </w:t>
      </w:r>
      <w:r>
        <w:rPr>
          <w:rStyle w:val="CharStyle3"/>
        </w:rPr>
        <w:t>реагент или калибратор, программное обеспечение, материал либо иные подобные или связанные с ними изделия, предназначенные изготовителем для применения по отдельности или в сочетании друг с другом.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пункта </w:t>
      </w:r>
      <w:r>
        <w:rPr>
          <w:rStyle w:val="CharStyle3"/>
          <w:lang w:val="en-US" w:eastAsia="en-US"/>
        </w:rPr>
        <w:t xml:space="preserve">3 </w:t>
      </w:r>
      <w:r>
        <w:rPr>
          <w:rStyle w:val="CharStyle3"/>
        </w:rPr>
        <w:t xml:space="preserve">статьи </w:t>
      </w:r>
      <w:r>
        <w:rPr>
          <w:rStyle w:val="CharStyle3"/>
          <w:lang w:val="en-US" w:eastAsia="en-US"/>
        </w:rPr>
        <w:t xml:space="preserve">38 </w:t>
      </w:r>
      <w:r>
        <w:rPr>
          <w:rStyle w:val="CharStyle3"/>
        </w:rPr>
        <w:t>Закона об охране здоровья граждан инструкция по применению (эксплуатационная документация) является неотъемлемой частью технической документации на медицинское изделие и определяет способ применения медицинского изделия, в том числе перечень необходимых для применения медицинского изделия расходных материалов.</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Татарстанского УФАС России отмечает, что рассматриваемом случае, Заказчиком закупаются расходные материалы для медицинских изделий, которые имеют действующие регистрационные удостоверения (разрешительную документацию), предусмотренные производителем (изготовителем).</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Комиссией Татарстанского УФАС России установлено, что документация электронного запроса котировок разработана Заказчиком на основании основополагающей Инструкции по эксплуатации и писем производителя, и сформирована Заказчиком так, что все закупаемые расходные материалы объединены в один лот ввиду их единого предназначения.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Как подтверждается материалами дела, требования к закупаемому товару обусловлены спецификой использования такого товара.</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Татарстанского УФАС России отмечает, что область здравоохранения имеет специфическое и значимое положение, как для государства, так и для населения в целом, поскольку конечная цель деятельности, в том числе медицинских учреждений, обусловлена дачей эффективного и результативного лечения нуждающихся в том граждан.</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рассматриваемом случае, товары, закупаемые в рамках данной процедуры, имеют общее целевое назначение (принадлежности к оборудованию Заказчика) и направлены на достижение единой цели деятельности Заказчика </w:t>
      </w:r>
      <w:r>
        <w:rPr>
          <w:rStyle w:val="CharStyle3"/>
          <w:lang w:val="en-US" w:eastAsia="en-US"/>
        </w:rPr>
        <w:t xml:space="preserve">- </w:t>
      </w:r>
      <w:r>
        <w:rPr>
          <w:rStyle w:val="CharStyle3"/>
        </w:rPr>
        <w:t>материальное обеспечение возможности проведения медицинских вмешательств.</w:t>
      </w:r>
    </w:p>
    <w:p>
      <w:pPr>
        <w:pStyle w:val="Style2"/>
        <w:keepNext w:val="0"/>
        <w:keepLines w:val="0"/>
        <w:widowControl w:val="0"/>
        <w:shd w:val="clear" w:color="auto" w:fill="auto"/>
        <w:bidi w:val="0"/>
        <w:spacing w:before="0" w:after="0" w:line="240" w:lineRule="auto"/>
        <w:ind w:left="0" w:right="0" w:firstLine="700"/>
        <w:jc w:val="both"/>
      </w:pPr>
      <w:r>
        <w:rPr>
          <w:rStyle w:val="CharStyle3"/>
        </w:rPr>
        <w:t>Следует отметить, что формирование единого лота позволяет Заказчику своевременно получить расходные материалы для проведения медицинских вмешательств по показаниям для пациентов. Поставка товаров от разных поставщиков по разным договорам несет (может нести) риск рассинхронизации сроков поставки, что, в свою очередь, может привести к срыву медицинских процедур (операций) и некомплектности оснащения.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Кроме того, все закупаемые в рамках запроса котировок медицинские изделия относятся к одному коду ОКПД2 </w:t>
      </w:r>
      <w:r>
        <w:rPr>
          <w:rStyle w:val="CharStyle3"/>
          <w:lang w:val="en-US" w:eastAsia="en-US"/>
        </w:rPr>
        <w:t xml:space="preserve">- 32.50.50.190 </w:t>
      </w:r>
      <w:r>
        <w:rPr>
          <w:rStyle w:val="CharStyle3"/>
        </w:rPr>
        <w:t>«Инструменты и приспособления, применяемые в медицинских целях, прочие, не включенные в другие группировки», входят в одну товарную группу и относятся к одному товарному рынку.</w:t>
      </w:r>
    </w:p>
    <w:p>
      <w:pPr>
        <w:pStyle w:val="Style2"/>
        <w:keepNext w:val="0"/>
        <w:keepLines w:val="0"/>
        <w:widowControl w:val="0"/>
        <w:shd w:val="clear" w:color="auto" w:fill="auto"/>
        <w:bidi w:val="0"/>
        <w:spacing w:before="0" w:after="0" w:line="240" w:lineRule="auto"/>
        <w:ind w:left="0" w:right="0" w:firstLine="700"/>
        <w:jc w:val="both"/>
      </w:pPr>
      <w:r>
        <w:rPr>
          <w:rStyle w:val="CharStyle3"/>
        </w:rPr>
        <w:t>Действующее законодательство не предусматривает запрет выставлять на торги единым лотом предлагаемые к поставке товары, которые в силу своей специфики могут быть поделены и на отдельные виды.</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Заявителем в материалы дела представлено письмо ООО «КАРЛ ШТОРЦ» подписанное Ладыгином Д.В. по доверенности </w:t>
      </w:r>
      <w:r>
        <w:rPr>
          <w:rStyle w:val="CharStyle3"/>
          <w:lang w:val="en-US" w:eastAsia="en-US"/>
        </w:rPr>
        <w:t xml:space="preserve">52/01 </w:t>
      </w:r>
      <w:r>
        <w:rPr>
          <w:rStyle w:val="CharStyle3"/>
        </w:rPr>
        <w:t xml:space="preserve">от 01.01.2025г. о снятии с производства трубок ирригационных арт. </w:t>
      </w:r>
      <w:r>
        <w:rPr>
          <w:rStyle w:val="CharStyle3"/>
          <w:lang w:val="en-US" w:eastAsia="en-US"/>
        </w:rPr>
        <w:t>031128-10.</w:t>
      </w:r>
    </w:p>
    <w:p>
      <w:pPr>
        <w:pStyle w:val="Style2"/>
        <w:keepNext w:val="0"/>
        <w:keepLines w:val="0"/>
        <w:widowControl w:val="0"/>
        <w:shd w:val="clear" w:color="auto" w:fill="auto"/>
        <w:bidi w:val="0"/>
        <w:spacing w:before="0" w:after="0" w:line="240" w:lineRule="auto"/>
        <w:ind w:left="0" w:right="0" w:firstLine="700"/>
        <w:jc w:val="both"/>
      </w:pPr>
      <w:r>
        <w:rPr>
          <w:rStyle w:val="CharStyle3"/>
        </w:rPr>
        <w:t>Вместе с тем, Комиссия Татарстанского УФАС России отмечает, что факт снятия с производства указанного товара не может подтверждать его отсутствие в гражданском обороте, поскольку закон не связывает возможность участия товара в обороте с продолжением его производства. Таким образом, даже если производитель прекратил выпуск определённого товара, уже произведённые и находящиеся у участников оборота единицы могут свободно продаваться и перепродаваться на вторичном рынке. Снятие с производства влияет лишь на поступление новых партий, но не на оборот уже существующих товаров.</w:t>
      </w:r>
    </w:p>
    <w:p>
      <w:pPr>
        <w:pStyle w:val="Style2"/>
        <w:keepNext w:val="0"/>
        <w:keepLines w:val="0"/>
        <w:widowControl w:val="0"/>
        <w:shd w:val="clear" w:color="auto" w:fill="auto"/>
        <w:bidi w:val="0"/>
        <w:spacing w:before="0" w:after="0" w:line="240" w:lineRule="auto"/>
        <w:ind w:left="0" w:right="0" w:firstLine="700"/>
        <w:jc w:val="both"/>
      </w:pPr>
      <w:r>
        <w:rPr>
          <w:rStyle w:val="CharStyle3"/>
        </w:rPr>
        <w:t>Бесспорных доказательств того, что оспариваемые требования к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закупке, препятствовали каким-либо образом подаче заявки заявителем на участие в закупке, в материалах жалобы отсутствуют, заявителем не представлено. Кроме того, Заявителем также не представлено материалов, подтверждающих невозможность поставки рассматриваемых товаров.</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Кроме того, согласно части </w:t>
      </w:r>
      <w:r>
        <w:rPr>
          <w:rStyle w:val="CharStyle3"/>
          <w:lang w:val="en-US" w:eastAsia="en-US"/>
        </w:rPr>
        <w:t xml:space="preserve">4 </w:t>
      </w:r>
      <w:r>
        <w:rPr>
          <w:rStyle w:val="CharStyle3"/>
        </w:rPr>
        <w:t xml:space="preserve">статьи </w:t>
      </w:r>
      <w:r>
        <w:rPr>
          <w:rStyle w:val="CharStyle3"/>
          <w:lang w:val="en-US" w:eastAsia="en-US"/>
        </w:rPr>
        <w:t xml:space="preserve">38 </w:t>
      </w:r>
      <w:r>
        <w:rPr>
          <w:rStyle w:val="CharStyle3"/>
        </w:rPr>
        <w:t>Федерального закона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Пунктом </w:t>
      </w:r>
      <w:r>
        <w:rPr>
          <w:rStyle w:val="CharStyle3"/>
          <w:lang w:val="en-US" w:eastAsia="en-US"/>
        </w:rPr>
        <w:t xml:space="preserve">25 </w:t>
      </w:r>
      <w:r>
        <w:rPr>
          <w:rStyle w:val="CharStyle3"/>
        </w:rPr>
        <w:t xml:space="preserve">Правил государственной регистрации медицинских изделий, утвержденных постановлением Правительства Российской Федерации от </w:t>
      </w:r>
      <w:r>
        <w:rPr>
          <w:rStyle w:val="CharStyle3"/>
          <w:lang w:val="en-US" w:eastAsia="en-US"/>
        </w:rPr>
        <w:t xml:space="preserve">30 </w:t>
      </w:r>
      <w:r>
        <w:rPr>
          <w:rStyle w:val="CharStyle3"/>
        </w:rPr>
        <w:t xml:space="preserve">ноября </w:t>
      </w:r>
      <w:r>
        <w:rPr>
          <w:rStyle w:val="CharStyle3"/>
          <w:lang w:val="en-US" w:eastAsia="en-US"/>
        </w:rPr>
        <w:t xml:space="preserve">2024 </w:t>
      </w:r>
      <w:r>
        <w:rPr>
          <w:rStyle w:val="CharStyle3"/>
        </w:rPr>
        <w:t xml:space="preserve">года </w:t>
      </w:r>
      <w:r>
        <w:rPr>
          <w:rStyle w:val="CharStyle3"/>
          <w:lang w:val="en-US" w:eastAsia="en-US"/>
        </w:rPr>
        <w:t xml:space="preserve">№1684, </w:t>
      </w:r>
      <w:r>
        <w:rPr>
          <w:rStyle w:val="CharStyle3"/>
        </w:rPr>
        <w:t>установлено, что факт государственной регистрации медицинского изделия в соответствии с настоящими Правилами подтверждается реестровой записью, вносимой регистрирующим органом в государственный реестр.</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действующее законодательство Российской Федерации предусматривает возможность обращения на территории Российской Федерации медицинских изделий, прошедших регистрацию в установленном порядке.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информации размещенной на официальном сайте Росздравнадзора, сведения о внесении изменений в регистрационное удостоверение ФСЗ </w:t>
      </w:r>
      <w:r>
        <w:rPr>
          <w:rStyle w:val="CharStyle3"/>
          <w:lang w:val="en-US" w:eastAsia="en-US"/>
        </w:rPr>
        <w:t xml:space="preserve">2008/01962 </w:t>
      </w:r>
      <w:r>
        <w:rPr>
          <w:rStyle w:val="CharStyle3"/>
        </w:rPr>
        <w:t>отсутствуют. Кроме того, Комиссия также отмечает, что письмо, представленное Заявителем не подписано руководителем производителя.</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в рассматриваемом случае имеется участник закупки который готов поставить трубки ирригационные производства ООО «КАРЛ ШТОРЦ».</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изложенного, Комиссия Татарстанского УФАС России приходит к выводу о признании довода жалобы необоснованным.</w:t>
      </w:r>
    </w:p>
    <w:p>
      <w:pPr>
        <w:pStyle w:val="Style2"/>
        <w:keepNext w:val="0"/>
        <w:keepLines w:val="0"/>
        <w:widowControl w:val="0"/>
        <w:numPr>
          <w:ilvl w:val="0"/>
          <w:numId w:val="9"/>
        </w:numPr>
        <w:shd w:val="clear" w:color="auto" w:fill="auto"/>
        <w:tabs>
          <w:tab w:pos="999" w:val="left"/>
        </w:tabs>
        <w:bidi w:val="0"/>
        <w:spacing w:before="0" w:after="0" w:line="240" w:lineRule="auto"/>
        <w:ind w:left="0" w:right="0" w:firstLine="700"/>
        <w:jc w:val="both"/>
      </w:pPr>
      <w:r>
        <w:rPr>
          <w:rStyle w:val="CharStyle3"/>
          <w:i/>
          <w:iCs/>
        </w:rPr>
        <w:t>Согласно доводу жалобы Заказчиком неправомерно установлено требование о поставки товара совместимого с оборудованием Заказчика.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1"/>
        </w:numPr>
        <w:shd w:val="clear" w:color="auto" w:fill="auto"/>
        <w:tabs>
          <w:tab w:pos="1033" w:val="left"/>
        </w:tabs>
        <w:bidi w:val="0"/>
        <w:spacing w:before="0" w:after="0" w:line="240" w:lineRule="auto"/>
        <w:ind w:left="0" w:right="0" w:firstLine="70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описанию объекта закупки Заказчику в рассматриваемом случае к поставке необходимы товары:</w:t>
      </w:r>
    </w:p>
    <w:p>
      <w:pPr>
        <w:pStyle w:val="Style2"/>
        <w:keepNext w:val="0"/>
        <w:keepLines w:val="0"/>
        <w:widowControl w:val="0"/>
        <w:numPr>
          <w:ilvl w:val="0"/>
          <w:numId w:val="13"/>
        </w:numPr>
        <w:shd w:val="clear" w:color="auto" w:fill="auto"/>
        <w:tabs>
          <w:tab w:pos="1004" w:val="left"/>
        </w:tabs>
        <w:bidi w:val="0"/>
        <w:spacing w:before="0" w:after="0" w:line="240" w:lineRule="auto"/>
        <w:ind w:left="0" w:right="0" w:firstLine="700"/>
        <w:jc w:val="both"/>
      </w:pPr>
      <w:r>
        <w:rPr>
          <w:rStyle w:val="CharStyle3"/>
        </w:rPr>
        <w:t xml:space="preserve">Трубка-шланг совместимая с помпами однопоточного и двухпоточного типа </w:t>
      </w:r>
      <w:r>
        <w:rPr>
          <w:rStyle w:val="CharStyle3"/>
          <w:lang w:val="en-US" w:eastAsia="en-US"/>
        </w:rPr>
        <w:t>Arthrex Dual Wave.</w:t>
      </w:r>
    </w:p>
    <w:p>
      <w:pPr>
        <w:pStyle w:val="Style2"/>
        <w:keepNext w:val="0"/>
        <w:keepLines w:val="0"/>
        <w:widowControl w:val="0"/>
        <w:numPr>
          <w:ilvl w:val="0"/>
          <w:numId w:val="13"/>
        </w:numPr>
        <w:shd w:val="clear" w:color="auto" w:fill="auto"/>
        <w:tabs>
          <w:tab w:pos="994" w:val="left"/>
        </w:tabs>
        <w:bidi w:val="0"/>
        <w:spacing w:before="0" w:after="0" w:line="240" w:lineRule="auto"/>
        <w:ind w:left="0" w:right="0" w:firstLine="700"/>
        <w:jc w:val="both"/>
      </w:pPr>
      <w:r>
        <w:rPr>
          <w:rStyle w:val="CharStyle3"/>
        </w:rPr>
        <w:t xml:space="preserve">Набор трубок для ирригации хирургический, одноразового использования совместимые с системами роликовых помп </w:t>
      </w:r>
      <w:r>
        <w:rPr>
          <w:rStyle w:val="CharStyle3"/>
          <w:lang w:val="en-US" w:eastAsia="en-US"/>
        </w:rPr>
        <w:t>KARL STORZ.</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пояснениям Заказчика в травматолого-ортоподическом отделении эксплуатируется оборудование двух производителей система роликовых помп </w:t>
      </w:r>
      <w:r>
        <w:rPr>
          <w:rStyle w:val="CharStyle3"/>
          <w:lang w:val="en-US" w:eastAsia="en-US"/>
        </w:rPr>
        <w:t xml:space="preserve">KARL STORZ </w:t>
      </w:r>
      <w:r>
        <w:rPr>
          <w:rStyle w:val="CharStyle3"/>
        </w:rPr>
        <w:t xml:space="preserve">и помпы типа </w:t>
      </w:r>
      <w:r>
        <w:rPr>
          <w:rStyle w:val="CharStyle3"/>
          <w:lang w:val="en-US" w:eastAsia="en-US"/>
        </w:rPr>
        <w:t xml:space="preserve">Arthrex Dual Wave. </w:t>
      </w:r>
      <w:r>
        <w:rPr>
          <w:rStyle w:val="CharStyle3"/>
        </w:rPr>
        <w:t>Таким образом, Заказчику необходимые оригинальные расходные материалы к вышеуказанному оборудованию.</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Татарстанского УФАС России выслушав пояснения сторон, изучив материалы дела приходит к следующему.</w:t>
      </w:r>
    </w:p>
    <w:p>
      <w:pPr>
        <w:pStyle w:val="Style2"/>
        <w:keepNext w:val="0"/>
        <w:keepLines w:val="0"/>
        <w:widowControl w:val="0"/>
        <w:shd w:val="clear" w:color="auto" w:fill="auto"/>
        <w:bidi w:val="0"/>
        <w:spacing w:before="0" w:after="0" w:line="240" w:lineRule="auto"/>
        <w:ind w:left="0" w:right="0" w:firstLine="700"/>
        <w:jc w:val="both"/>
      </w:pPr>
      <w:r>
        <w:rPr>
          <w:rStyle w:val="CharStyle3"/>
        </w:rPr>
        <w:t>Закон о контрактной системе позволяет заказчику, руководствуясь своими потребностями, определять предмет закупки, его количественные и качественные характеристики, в необходимой степени детализировать его, при этом запрещает ограничивать количество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Указанная правовая позиция отражена в пункте </w:t>
      </w:r>
      <w:r>
        <w:rPr>
          <w:rStyle w:val="CharStyle3"/>
          <w:lang w:val="en-US" w:eastAsia="en-US"/>
        </w:rPr>
        <w:t xml:space="preserve">1 </w:t>
      </w:r>
      <w:r>
        <w:rPr>
          <w:rStyle w:val="CharStyle3"/>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w:t>
      </w:r>
      <w:r>
        <w:rPr>
          <w:rStyle w:val="CharStyle3"/>
          <w:lang w:val="en-US" w:eastAsia="en-US"/>
        </w:rPr>
        <w:t>28.06.2017.</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При этом в пункте </w:t>
      </w:r>
      <w:r>
        <w:rPr>
          <w:rStyle w:val="CharStyle3"/>
          <w:lang w:val="en-US" w:eastAsia="en-US"/>
        </w:rPr>
        <w:t xml:space="preserve">1 </w:t>
      </w:r>
      <w:r>
        <w:rPr>
          <w:rStyle w:val="CharStyle3"/>
        </w:rPr>
        <w:t>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w:t>
      </w:r>
      <w:r>
        <w:br w:type="page"/>
      </w:r>
    </w:p>
    <w:p>
      <w:pPr>
        <w:pStyle w:val="Style2"/>
        <w:keepNext w:val="0"/>
        <w:keepLines w:val="0"/>
        <w:widowControl w:val="0"/>
        <w:shd w:val="clear" w:color="auto" w:fill="auto"/>
        <w:bidi w:val="0"/>
        <w:spacing w:before="0" w:after="0" w:line="240" w:lineRule="auto"/>
        <w:ind w:left="0" w:right="0" w:firstLine="720"/>
        <w:jc w:val="both"/>
      </w:pPr>
      <w:r>
        <w:rPr>
          <w:rStyle w:val="CharStyle3"/>
        </w:rPr>
        <w:t>Как подтверждается материалами дела, требования к закупаемому товару обусловлены наличием у Заказчика оборудования, к которому необходима поставка расходных материалов.</w:t>
      </w:r>
    </w:p>
    <w:p>
      <w:pPr>
        <w:pStyle w:val="Style2"/>
        <w:keepNext w:val="0"/>
        <w:keepLines w:val="0"/>
        <w:widowControl w:val="0"/>
        <w:shd w:val="clear" w:color="auto" w:fill="auto"/>
        <w:bidi w:val="0"/>
        <w:spacing w:before="0" w:after="0" w:line="240" w:lineRule="auto"/>
        <w:ind w:left="0" w:right="0" w:firstLine="720"/>
        <w:jc w:val="both"/>
      </w:pPr>
      <w:r>
        <w:rPr>
          <w:rStyle w:val="CharStyle3"/>
        </w:rPr>
        <w:t>Кроме того, Заявителем также не представлено сведений, подтверждающих наличие иных совместимых расходных материалов.</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изложенного, Комиссия приходит к выводу, что Заказчиком правомерно установлено требование о поставки товара совместимого с оборудованием Заказчика, а также принимает решение о признании жалобы необоснованной.</w:t>
      </w:r>
    </w:p>
    <w:p>
      <w:pPr>
        <w:pStyle w:val="Style2"/>
        <w:keepNext w:val="0"/>
        <w:keepLines w:val="0"/>
        <w:widowControl w:val="0"/>
        <w:shd w:val="clear" w:color="auto" w:fill="auto"/>
        <w:bidi w:val="0"/>
        <w:spacing w:before="0" w:after="300" w:line="240" w:lineRule="auto"/>
        <w:ind w:left="0" w:right="0" w:firstLine="720"/>
        <w:jc w:val="both"/>
      </w:pPr>
      <w:r>
        <w:rPr>
          <w:rStyle w:val="CharStyle3"/>
        </w:rPr>
        <w:t xml:space="preserve">На основании вышеизложенного, руководствуясь пунктом </w:t>
      </w:r>
      <w:r>
        <w:rPr>
          <w:rStyle w:val="CharStyle3"/>
          <w:lang w:val="en-US" w:eastAsia="en-US"/>
        </w:rPr>
        <w:t xml:space="preserve">2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 xml:space="preserve">Федерального закона от </w:t>
      </w:r>
      <w:r>
        <w:rPr>
          <w:rStyle w:val="CharStyle3"/>
          <w:lang w:val="en-US" w:eastAsia="en-US"/>
        </w:rPr>
        <w:t xml:space="preserve">05.04.2013 № </w:t>
      </w:r>
      <w:r>
        <w:rPr>
          <w:rStyle w:val="CharStyle3"/>
        </w:rPr>
        <w:t>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00" w:line="240" w:lineRule="auto"/>
        <w:ind w:left="0" w:right="0" w:firstLine="0"/>
        <w:jc w:val="center"/>
      </w:pPr>
      <w:r>
        <w:rPr>
          <w:rStyle w:val="CharStyle3"/>
        </w:rPr>
        <w:t>Р Е Ш И Л 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Признать жалобу заявителя ООО «Торгмед» (вх. №3771/ж от </w:t>
      </w:r>
      <w:r>
        <w:rPr>
          <w:rStyle w:val="CharStyle3"/>
          <w:lang w:val="en-US" w:eastAsia="en-US"/>
        </w:rPr>
        <w:t xml:space="preserve">23.04.2026, </w:t>
      </w:r>
      <w:r>
        <w:rPr>
          <w:rStyle w:val="CharStyle3"/>
        </w:rPr>
        <w:t xml:space="preserve">ЕИС от </w:t>
      </w:r>
      <w:r>
        <w:rPr>
          <w:rStyle w:val="CharStyle3"/>
          <w:lang w:val="en-US" w:eastAsia="en-US"/>
        </w:rPr>
        <w:t xml:space="preserve">22.04.2026) </w:t>
      </w:r>
      <w:r>
        <w:rPr>
          <w:rStyle w:val="CharStyle3"/>
        </w:rPr>
        <w:t xml:space="preserve">на действия Заказчика </w:t>
      </w:r>
      <w:r>
        <w:rPr>
          <w:rStyle w:val="CharStyle3"/>
          <w:lang w:val="en-US" w:eastAsia="en-US"/>
        </w:rPr>
        <w:t xml:space="preserve">- </w:t>
      </w:r>
      <w:r>
        <w:rPr>
          <w:rStyle w:val="CharStyle3"/>
        </w:rPr>
        <w:t xml:space="preserve">ГАУЗ РТ «БСМП им. Р.С. Акчурина» при проведении закупки </w:t>
      </w:r>
      <w:r>
        <w:rPr>
          <w:rStyle w:val="CharStyle3"/>
          <w:lang w:val="en-US" w:eastAsia="en-US"/>
        </w:rPr>
        <w:t xml:space="preserve">№0711200024126000095 </w:t>
      </w:r>
      <w:r>
        <w:rPr>
          <w:rStyle w:val="CharStyle3"/>
        </w:rPr>
        <w:t>на предмет: «Поставка медицинских расходных материалов для травматолого-ортопедического отделения ГАУЗ РТ «БСМП им. Р.С.Акчурина» на 2026г» необоснованной.</w:t>
      </w:r>
    </w:p>
    <w:p>
      <w:pPr>
        <w:pStyle w:val="Style2"/>
        <w:keepNext w:val="0"/>
        <w:keepLines w:val="0"/>
        <w:widowControl w:val="0"/>
        <w:shd w:val="clear" w:color="auto" w:fill="auto"/>
        <w:bidi w:val="0"/>
        <w:spacing w:before="0" w:after="520" w:line="240" w:lineRule="auto"/>
        <w:ind w:left="0" w:right="0" w:firstLine="720"/>
        <w:jc w:val="both"/>
      </w:pPr>
      <w:r>
        <w:rPr>
          <w:rStyle w:val="CharStyle3"/>
        </w:rPr>
        <w:t>Решение Комиссии может быть обжаловано в судебном порядке в течение трех месяцев со дня его принятия.</w:t>
      </w:r>
    </w:p>
    <w:p>
      <w:pPr>
        <w:pStyle w:val="Style26"/>
        <w:keepNext w:val="0"/>
        <w:keepLines w:val="0"/>
        <w:widowControl w:val="0"/>
        <w:shd w:val="clear" w:color="auto" w:fill="auto"/>
        <w:bidi w:val="0"/>
        <w:spacing w:before="0" w:after="86"/>
        <w:ind w:left="0" w:right="0" w:firstLine="0"/>
        <w:jc w:val="center"/>
      </w:pPr>
      <w:r>
        <w:rPr>
          <w:rStyle w:val="CharStyle27"/>
          <w:b/>
          <w:bCs/>
        </w:rPr>
        <w:t>ДОКУМЕНТ ПОДПИСАН</w:t>
        <w:br/>
        <w:t>ЭЛЕКТРОННОЙ ПОДПИСЬЮ</w:t>
      </w:r>
    </w:p>
    <w:p>
      <w:pPr>
        <w:pStyle w:val="Style11"/>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1040" w:right="0" w:firstLine="0"/>
        <w:jc w:val="both"/>
      </w:pPr>
      <w:r>
        <mc:AlternateContent>
          <mc:Choice Requires="wps">
            <w:drawing>
              <wp:anchor distT="0" distB="0" distL="114300" distR="114300" simplePos="0" relativeHeight="125829379" behindDoc="0" locked="0" layoutInCell="1" allowOverlap="1">
                <wp:simplePos x="0" y="0"/>
                <wp:positionH relativeFrom="page">
                  <wp:posOffset>769620</wp:posOffset>
                </wp:positionH>
                <wp:positionV relativeFrom="paragraph">
                  <wp:posOffset>76200</wp:posOffset>
                </wp:positionV>
                <wp:extent cx="2212975" cy="210185"/>
                <wp:wrapSquare wrapText="right"/>
                <wp:docPr id="11" name="Shape 11"/>
                <a:graphic xmlns:a="http://schemas.openxmlformats.org/drawingml/2006/main">
                  <a:graphicData uri="http://schemas.microsoft.com/office/word/2010/wordprocessingShape">
                    <wps:wsp>
                      <wps:cNvSpPr txBox="1"/>
                      <wps:spPr>
                        <a:xfrm>
                          <a:ext cx="221297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Зам. Председателя Комиссии:</w:t>
                            </w:r>
                          </w:p>
                        </w:txbxContent>
                      </wps:txbx>
                      <wps:bodyPr wrap="none" lIns="0" tIns="0" rIns="0" bIns="0">
                        <a:noAutoFit/>
                      </wps:bodyPr>
                    </wps:wsp>
                  </a:graphicData>
                </a:graphic>
              </wp:anchor>
            </w:drawing>
          </mc:Choice>
          <mc:Fallback>
            <w:pict>
              <v:shape id="_x0000_s1037" type="#_x0000_t202" style="position:absolute;margin-left:60.600000000000001pt;margin-top:6.pt;width:174.25pt;height:16.55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Зам. Председателя Комиссии:</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6024245</wp:posOffset>
                </wp:positionH>
                <wp:positionV relativeFrom="paragraph">
                  <wp:posOffset>76200</wp:posOffset>
                </wp:positionV>
                <wp:extent cx="984250" cy="210185"/>
                <wp:wrapSquare wrapText="left"/>
                <wp:docPr id="13" name="Shape 13"/>
                <a:graphic xmlns:a="http://schemas.openxmlformats.org/drawingml/2006/main">
                  <a:graphicData uri="http://schemas.microsoft.com/office/word/2010/wordprocessingShape">
                    <wps:wsp>
                      <wps:cNvSpPr txBox="1"/>
                      <wps:spPr>
                        <a:xfrm>
                          <a:ext cx="98425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А.С. Кучеева</w:t>
                            </w:r>
                          </w:p>
                        </w:txbxContent>
                      </wps:txbx>
                      <wps:bodyPr wrap="none" lIns="0" tIns="0" rIns="0" bIns="0">
                        <a:noAutoFit/>
                      </wps:bodyPr>
                    </wps:wsp>
                  </a:graphicData>
                </a:graphic>
              </wp:anchor>
            </w:drawing>
          </mc:Choice>
          <mc:Fallback>
            <w:pict>
              <v:shape id="_x0000_s1039" type="#_x0000_t202" style="position:absolute;margin-left:474.35000000000002pt;margin-top:6.pt;width:77.5pt;height:16.55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А.С. Кучеева</w:t>
                      </w:r>
                    </w:p>
                  </w:txbxContent>
                </v:textbox>
                <w10:wrap type="square" side="left" anchorx="page"/>
              </v:shape>
            </w:pict>
          </mc:Fallback>
        </mc:AlternateContent>
      </w:r>
      <w:r>
        <w:rPr>
          <w:rStyle w:val="CharStyle12"/>
          <w:b/>
          <w:bCs/>
          <w:color w:val="C4C4C4"/>
        </w:rPr>
        <w:t>СВЕДЕНИЯ О СЕРТИФИКАТЕ ЭП</w:t>
      </w:r>
    </w:p>
    <w:p>
      <w:pPr>
        <w:pStyle w:val="Style11"/>
        <w:keepNext w:val="0"/>
        <w:keepLines w:val="0"/>
        <w:widowControl w:val="0"/>
        <w:shd w:val="clear" w:color="auto" w:fill="auto"/>
        <w:bidi w:val="0"/>
        <w:spacing w:before="0" w:after="0" w:line="300" w:lineRule="auto"/>
        <w:ind w:left="0" w:right="0" w:firstLine="260"/>
        <w:jc w:val="both"/>
      </w:pPr>
      <w:r>
        <w:rPr>
          <w:rStyle w:val="CharStyle12"/>
        </w:rPr>
        <w:t xml:space="preserve">Сертификат: </w:t>
      </w:r>
      <w:r>
        <w:rPr>
          <w:rStyle w:val="CharStyle12"/>
          <w:lang w:val="en-US" w:eastAsia="en-US"/>
        </w:rPr>
        <w:t>6887C9B64439A813B5E2778A2F1FC125</w:t>
      </w:r>
    </w:p>
    <w:p>
      <w:pPr>
        <w:pStyle w:val="Style11"/>
        <w:keepNext w:val="0"/>
        <w:keepLines w:val="0"/>
        <w:widowControl w:val="0"/>
        <w:shd w:val="clear" w:color="auto" w:fill="auto"/>
        <w:bidi w:val="0"/>
        <w:spacing w:before="0" w:after="0" w:line="300" w:lineRule="auto"/>
        <w:ind w:left="4040" w:right="0" w:firstLine="0"/>
        <w:jc w:val="both"/>
      </w:pPr>
      <w:r>
        <w:rPr>
          <w:rStyle w:val="CharStyle12"/>
        </w:rPr>
        <w:t>Владелец: Кучеева Алина Сергеевна Действителен с 17.12.2025 до 12.03.2027</w:t>
      </w:r>
    </w:p>
    <w:p>
      <w:pPr>
        <w:pStyle w:val="Style28"/>
        <w:keepNext w:val="0"/>
        <w:keepLines w:val="0"/>
        <w:widowControl w:val="0"/>
        <w:shd w:val="clear" w:color="auto" w:fill="auto"/>
        <w:bidi w:val="0"/>
        <w:spacing w:before="0" w:line="240" w:lineRule="auto"/>
        <w:ind w:left="0" w:right="0" w:firstLine="0"/>
        <w:jc w:val="center"/>
      </w:pPr>
      <w:r>
        <w:rPr>
          <w:rStyle w:val="CharStyle29"/>
        </w:rPr>
        <w:t>\/</w:t>
      </w:r>
    </w:p>
    <w:p>
      <w:pPr>
        <w:pStyle w:val="Style26"/>
        <w:keepNext w:val="0"/>
        <w:keepLines w:val="0"/>
        <w:widowControl w:val="0"/>
        <w:shd w:val="clear" w:color="auto" w:fill="auto"/>
        <w:bidi w:val="0"/>
        <w:spacing w:before="0" w:after="0" w:line="269" w:lineRule="auto"/>
        <w:ind w:left="0" w:right="0" w:firstLine="0"/>
        <w:jc w:val="center"/>
      </w:pPr>
      <w:r>
        <w:rPr>
          <w:rStyle w:val="CharStyle27"/>
          <w:b/>
          <w:bCs/>
          <w:color w:val="191919"/>
        </w:rPr>
        <w:t>ДОКУМЕНТ ПОДПИСАН</w:t>
        <w:br/>
        <w:t>ЭЛЕКТРОННОЙ ПОДПИСЬЮ</w:t>
      </w:r>
    </w:p>
    <w:p>
      <w:pPr>
        <w:widowControl w:val="0"/>
        <w:spacing w:line="1" w:lineRule="exact"/>
        <w:sectPr>
          <w:footnotePr>
            <w:pos w:val="pageBottom"/>
            <w:numFmt w:val="decimal"/>
            <w:numRestart w:val="continuous"/>
          </w:footnotePr>
          <w:type w:val="continuous"/>
          <w:pgSz w:w="11900" w:h="16840"/>
          <w:pgMar w:top="1042" w:right="531" w:bottom="1229" w:left="1087" w:header="0" w:footer="3" w:gutter="0"/>
          <w:cols w:space="720"/>
          <w:noEndnote/>
          <w:rtlGutter w:val="0"/>
          <w:docGrid w:linePitch="360"/>
        </w:sectPr>
      </w:pPr>
      <w:r>
        <mc:AlternateContent>
          <mc:Choice Requires="wps">
            <w:drawing>
              <wp:anchor distT="0" distB="5715" distL="0" distR="0" simplePos="0" relativeHeight="125829383" behindDoc="0" locked="0" layoutInCell="1" allowOverlap="1">
                <wp:simplePos x="0" y="0"/>
                <wp:positionH relativeFrom="page">
                  <wp:posOffset>766445</wp:posOffset>
                </wp:positionH>
                <wp:positionV relativeFrom="paragraph">
                  <wp:posOffset>0</wp:posOffset>
                </wp:positionV>
                <wp:extent cx="1337945" cy="204470"/>
                <wp:wrapTopAndBottom/>
                <wp:docPr id="15" name="Shape 15"/>
                <a:graphic xmlns:a="http://schemas.openxmlformats.org/drawingml/2006/main">
                  <a:graphicData uri="http://schemas.microsoft.com/office/word/2010/wordprocessingShape">
                    <wps:wsp>
                      <wps:cNvSpPr txBox="1"/>
                      <wps:spPr>
                        <a:xfrm>
                          <a:ext cx="133794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wrap="none" lIns="0" tIns="0" rIns="0" bIns="0">
                        <a:noAutoFit/>
                      </wps:bodyPr>
                    </wps:wsp>
                  </a:graphicData>
                </a:graphic>
              </wp:anchor>
            </w:drawing>
          </mc:Choice>
          <mc:Fallback>
            <w:pict>
              <v:shape id="_x0000_s1041" type="#_x0000_t202" style="position:absolute;margin-left:60.350000000000001pt;margin-top:0;width:105.35000000000001pt;height:16.100000000000001pt;z-index:-125829370;mso-wrap-distance-left:0;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topAndBottom" anchorx="page"/>
              </v:shape>
            </w:pict>
          </mc:Fallback>
        </mc:AlternateContent>
      </w:r>
      <w:r>
        <mc:AlternateContent>
          <mc:Choice Requires="wps">
            <w:drawing>
              <wp:anchor distT="57785" distB="36830" distL="0" distR="0" simplePos="0" relativeHeight="125829385" behindDoc="0" locked="0" layoutInCell="1" allowOverlap="1">
                <wp:simplePos x="0" y="0"/>
                <wp:positionH relativeFrom="page">
                  <wp:posOffset>3597910</wp:posOffset>
                </wp:positionH>
                <wp:positionV relativeFrom="paragraph">
                  <wp:posOffset>57785</wp:posOffset>
                </wp:positionV>
                <wp:extent cx="1532890" cy="115570"/>
                <wp:wrapTopAndBottom/>
                <wp:docPr id="17" name="Shape 17"/>
                <a:graphic xmlns:a="http://schemas.openxmlformats.org/drawingml/2006/main">
                  <a:graphicData uri="http://schemas.microsoft.com/office/word/2010/wordprocessingShape">
                    <wps:wsp>
                      <wps:cNvSpPr txBox="1"/>
                      <wps:spPr>
                        <a:xfrm>
                          <a:ext cx="1532890" cy="115570"/>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2"/>
                                <w:b/>
                                <w:bCs/>
                                <w:color w:val="C4C4C4"/>
                              </w:rPr>
                              <w:t>СВЕДЕНИЯ О СЕРТИФИКАТЕ ЭП</w:t>
                            </w:r>
                          </w:p>
                        </w:txbxContent>
                      </wps:txbx>
                      <wps:bodyPr wrap="none" lIns="0" tIns="0" rIns="0" bIns="0">
                        <a:noAutoFit/>
                      </wps:bodyPr>
                    </wps:wsp>
                  </a:graphicData>
                </a:graphic>
              </wp:anchor>
            </w:drawing>
          </mc:Choice>
          <mc:Fallback>
            <w:pict>
              <v:shape id="_x0000_s1043" type="#_x0000_t202" style="position:absolute;margin-left:283.30000000000001pt;margin-top:4.5499999999999998pt;width:120.7pt;height:9.0999999999999996pt;z-index:-125829368;mso-wrap-distance-left:0;mso-wrap-distance-top:4.5499999999999998pt;mso-wrap-distance-right:0;mso-wrap-distance-bottom:2.8999999999999999pt;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2"/>
                          <w:b/>
                          <w:bCs/>
                          <w:color w:val="C4C4C4"/>
                        </w:rPr>
                        <w:t>СВЕДЕНИЯ О СЕРТИФИКАТЕ ЭП</w:t>
                      </w:r>
                    </w:p>
                  </w:txbxContent>
                </v:textbox>
                <w10:wrap type="topAndBottom" anchorx="page"/>
              </v:shape>
            </w:pict>
          </mc:Fallback>
        </mc:AlternateContent>
      </w:r>
      <w:r>
        <mc:AlternateContent>
          <mc:Choice Requires="wps">
            <w:drawing>
              <wp:anchor distT="0" distB="0" distL="0" distR="0" simplePos="0" relativeHeight="125829387" behindDoc="0" locked="0" layoutInCell="1" allowOverlap="1">
                <wp:simplePos x="0" y="0"/>
                <wp:positionH relativeFrom="page">
                  <wp:posOffset>5899150</wp:posOffset>
                </wp:positionH>
                <wp:positionV relativeFrom="paragraph">
                  <wp:posOffset>0</wp:posOffset>
                </wp:positionV>
                <wp:extent cx="1191895" cy="210185"/>
                <wp:wrapTopAndBottom/>
                <wp:docPr id="19" name="Shape 19"/>
                <a:graphic xmlns:a="http://schemas.openxmlformats.org/drawingml/2006/main">
                  <a:graphicData uri="http://schemas.microsoft.com/office/word/2010/wordprocessingShape">
                    <wps:wsp>
                      <wps:cNvSpPr txBox="1"/>
                      <wps:spPr>
                        <a:xfrm>
                          <a:ext cx="119189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Э.И. Абдуллина</w:t>
                            </w:r>
                          </w:p>
                        </w:txbxContent>
                      </wps:txbx>
                      <wps:bodyPr wrap="none" lIns="0" tIns="0" rIns="0" bIns="0">
                        <a:noAutoFit/>
                      </wps:bodyPr>
                    </wps:wsp>
                  </a:graphicData>
                </a:graphic>
              </wp:anchor>
            </w:drawing>
          </mc:Choice>
          <mc:Fallback>
            <w:pict>
              <v:shape id="_x0000_s1045" type="#_x0000_t202" style="position:absolute;margin-left:464.5pt;margin-top:0;width:93.850000000000009pt;height:16.550000000000001pt;z-index:-125829366;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Э.И. Абдуллина</w:t>
                      </w:r>
                    </w:p>
                  </w:txbxContent>
                </v:textbox>
                <w10:wrap type="topAndBottom" anchorx="page"/>
              </v:shape>
            </w:pict>
          </mc:Fallback>
        </mc:AlternateContent>
      </w:r>
    </w:p>
    <w:p>
      <w:pPr>
        <w:pStyle w:val="Style11"/>
        <w:keepNext w:val="0"/>
        <w:keepLines w:val="0"/>
        <w:widowControl w:val="0"/>
        <w:shd w:val="clear" w:color="auto" w:fill="auto"/>
        <w:bidi w:val="0"/>
        <w:spacing w:before="0" w:line="240" w:lineRule="auto"/>
        <w:ind w:left="3800" w:right="0" w:firstLine="0"/>
        <w:jc w:val="left"/>
      </w:pPr>
      <w:r>
        <w:rPr>
          <w:rStyle w:val="CharStyle12"/>
        </w:rPr>
        <w:t xml:space="preserve">Сертификат: 74СВ9641 </w:t>
      </w:r>
      <w:r>
        <w:rPr>
          <w:rStyle w:val="CharStyle12"/>
          <w:lang w:val="en-US" w:eastAsia="en-US"/>
        </w:rPr>
        <w:t>ED25F7D3021</w:t>
      </w:r>
      <w:r>
        <w:rPr>
          <w:rStyle w:val="CharStyle12"/>
        </w:rPr>
        <w:t>9531ЕС1</w:t>
      </w:r>
      <w:r>
        <w:rPr>
          <w:rStyle w:val="CharStyle12"/>
          <w:lang w:val="en-US" w:eastAsia="en-US"/>
        </w:rPr>
        <w:t>5B9D01</w:t>
      </w:r>
    </w:p>
    <w:p>
      <w:pPr>
        <w:pStyle w:val="Style11"/>
        <w:keepNext w:val="0"/>
        <w:keepLines w:val="0"/>
        <w:widowControl w:val="0"/>
        <w:shd w:val="clear" w:color="auto" w:fill="auto"/>
        <w:bidi w:val="0"/>
        <w:spacing w:before="0" w:line="240" w:lineRule="auto"/>
        <w:ind w:left="3800" w:right="0" w:firstLine="0"/>
        <w:jc w:val="left"/>
      </w:pPr>
      <w:r>
        <w:rPr>
          <w:rStyle w:val="CharStyle12"/>
        </w:rPr>
        <w:t>Владелец: Абдуллина Эльвира Ильшатовна</w:t>
      </w:r>
    </w:p>
    <w:p>
      <w:pPr>
        <w:pStyle w:val="Style11"/>
        <w:keepNext w:val="0"/>
        <w:keepLines w:val="0"/>
        <w:widowControl w:val="0"/>
        <w:shd w:val="clear" w:color="auto" w:fill="auto"/>
        <w:tabs>
          <w:tab w:leader="underscore" w:pos="5699" w:val="left"/>
          <w:tab w:leader="underscore" w:pos="5842" w:val="left"/>
          <w:tab w:leader="underscore" w:pos="7845" w:val="left"/>
        </w:tabs>
        <w:bidi w:val="0"/>
        <w:spacing w:before="0" w:after="260" w:line="276" w:lineRule="auto"/>
        <w:ind w:left="3520" w:right="0" w:firstLine="280"/>
        <w:jc w:val="left"/>
        <w:rPr>
          <w:sz w:val="26"/>
          <w:szCs w:val="26"/>
        </w:rPr>
      </w:pPr>
      <w:r>
        <w:rPr>
          <w:rStyle w:val="CharStyle12"/>
        </w:rPr>
        <w:t xml:space="preserve">Действителен с 14.08.2025 до 07.11.2026 </w:t>
      </w:r>
      <w:r>
        <w:rPr>
          <w:rStyle w:val="CharStyle12"/>
          <w:rFonts w:ascii="Times New Roman" w:eastAsia="Times New Roman" w:hAnsi="Times New Roman" w:cs="Times New Roman"/>
          <w:color w:val="000000"/>
          <w:sz w:val="26"/>
          <w:szCs w:val="26"/>
        </w:rPr>
        <w:t>к</w:t>
        <w:tab/>
        <w:tab/>
        <w:tab/>
        <w:t>/</w:t>
      </w:r>
    </w:p>
    <w:p>
      <w:pPr>
        <w:pStyle w:val="Style26"/>
        <w:keepNext w:val="0"/>
        <w:keepLines w:val="0"/>
        <w:widowControl w:val="0"/>
        <w:shd w:val="clear" w:color="auto" w:fill="auto"/>
        <w:bidi w:val="0"/>
        <w:spacing w:before="0" w:after="86"/>
        <w:ind w:left="0" w:right="0" w:firstLine="0"/>
        <w:jc w:val="center"/>
      </w:pPr>
      <w:r>
        <w:rPr>
          <w:rStyle w:val="CharStyle27"/>
          <w:b/>
          <w:bCs/>
        </w:rPr>
        <w:t>ДОКУМЕНТ ПОДПИСАН</w:t>
        <w:br/>
        <w:t>ЭЛЕКТРОННОЙ ПОДПИСЬЮ</w:t>
      </w:r>
    </w:p>
    <w:p>
      <w:pPr>
        <w:pStyle w:val="Style11"/>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3520" w:right="0" w:firstLine="0"/>
        <w:jc w:val="left"/>
      </w:pPr>
      <w:r>
        <mc:AlternateContent>
          <mc:Choice Requires="wps">
            <w:drawing>
              <wp:anchor distT="0" distB="0" distL="114300" distR="114300" simplePos="0" relativeHeight="125829389" behindDoc="0" locked="0" layoutInCell="1" allowOverlap="1">
                <wp:simplePos x="0" y="0"/>
                <wp:positionH relativeFrom="page">
                  <wp:posOffset>5814060</wp:posOffset>
                </wp:positionH>
                <wp:positionV relativeFrom="paragraph">
                  <wp:posOffset>25400</wp:posOffset>
                </wp:positionV>
                <wp:extent cx="1307465" cy="204470"/>
                <wp:wrapSquare wrapText="left"/>
                <wp:docPr id="21" name="Shape 21"/>
                <a:graphic xmlns:a="http://schemas.openxmlformats.org/drawingml/2006/main">
                  <a:graphicData uri="http://schemas.microsoft.com/office/word/2010/wordprocessingShape">
                    <wps:wsp>
                      <wps:cNvSpPr txBox="1"/>
                      <wps:spPr>
                        <a:xfrm>
                          <a:ext cx="130746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Е.С. Николашина</w:t>
                            </w:r>
                          </w:p>
                        </w:txbxContent>
                      </wps:txbx>
                      <wps:bodyPr wrap="none" lIns="0" tIns="0" rIns="0" bIns="0">
                        <a:noAutoFit/>
                      </wps:bodyPr>
                    </wps:wsp>
                  </a:graphicData>
                </a:graphic>
              </wp:anchor>
            </w:drawing>
          </mc:Choice>
          <mc:Fallback>
            <w:pict>
              <v:shape id="_x0000_s1047" type="#_x0000_t202" style="position:absolute;margin-left:457.80000000000001pt;margin-top:2.pt;width:102.95pt;height:16.100000000000001pt;z-index:-12582936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Е.С. Николашина</w:t>
                      </w:r>
                    </w:p>
                  </w:txbxContent>
                </v:textbox>
                <w10:wrap type="square" side="left" anchorx="page"/>
              </v:shape>
            </w:pict>
          </mc:Fallback>
        </mc:AlternateContent>
      </w:r>
      <w:r>
        <w:rPr>
          <w:rStyle w:val="CharStyle12"/>
          <w:b/>
          <w:bCs/>
          <w:color w:val="C4C4C4"/>
        </w:rPr>
        <w:t>СВЕДЕНИЯ О СЕРТИФИКАТЕ ЭП</w:t>
      </w:r>
    </w:p>
    <w:p>
      <w:pPr>
        <w:pStyle w:val="Style11"/>
        <w:keepNext w:val="0"/>
        <w:keepLines w:val="0"/>
        <w:widowControl w:val="0"/>
        <w:shd w:val="clear" w:color="auto" w:fill="auto"/>
        <w:bidi w:val="0"/>
        <w:spacing w:before="0" w:line="240" w:lineRule="auto"/>
        <w:ind w:left="2780" w:right="0" w:firstLine="0"/>
        <w:jc w:val="left"/>
      </w:pPr>
      <w:r>
        <w:rPr>
          <w:rStyle w:val="CharStyle12"/>
        </w:rPr>
        <w:t xml:space="preserve">Сертификат: </w:t>
      </w:r>
      <w:r>
        <w:rPr>
          <w:rStyle w:val="CharStyle12"/>
          <w:lang w:val="en-US" w:eastAsia="en-US"/>
        </w:rPr>
        <w:t>3FB0E0432712A478A9304E22A7F1</w:t>
      </w:r>
      <w:r>
        <w:rPr>
          <w:rStyle w:val="CharStyle12"/>
        </w:rPr>
        <w:t>ЗАЗО</w:t>
      </w:r>
    </w:p>
    <w:p>
      <w:pPr>
        <w:pStyle w:val="Style11"/>
        <w:keepNext w:val="0"/>
        <w:keepLines w:val="0"/>
        <w:widowControl w:val="0"/>
        <w:shd w:val="clear" w:color="auto" w:fill="auto"/>
        <w:bidi w:val="0"/>
        <w:spacing w:before="0" w:line="240" w:lineRule="auto"/>
        <w:ind w:left="2780" w:right="0" w:firstLine="0"/>
        <w:jc w:val="left"/>
      </w:pPr>
      <w:r>
        <w:rPr>
          <w:rStyle w:val="CharStyle12"/>
        </w:rPr>
        <w:t>Владелец: Николашина Екатерина Сергеевна</w:t>
      </w:r>
    </w:p>
    <w:p>
      <w:pPr>
        <w:pStyle w:val="Style11"/>
        <w:keepNext w:val="0"/>
        <w:keepLines w:val="0"/>
        <w:widowControl w:val="0"/>
        <w:shd w:val="clear" w:color="auto" w:fill="auto"/>
        <w:tabs>
          <w:tab w:leader="underscore" w:pos="4679" w:val="left"/>
          <w:tab w:leader="underscore" w:pos="4822" w:val="left"/>
          <w:tab w:leader="underscore" w:pos="6825" w:val="left"/>
        </w:tabs>
        <w:bidi w:val="0"/>
        <w:spacing w:before="0" w:after="260" w:line="276" w:lineRule="auto"/>
        <w:ind w:left="2500" w:right="0" w:firstLine="280"/>
        <w:jc w:val="left"/>
        <w:rPr>
          <w:sz w:val="26"/>
          <w:szCs w:val="26"/>
        </w:rPr>
      </w:pPr>
      <w:r>
        <w:rPr>
          <w:rStyle w:val="CharStyle12"/>
        </w:rPr>
        <w:t xml:space="preserve">Действителен с 27.10.2025 до 20.01.2027 </w:t>
      </w:r>
      <w:r>
        <w:rPr>
          <w:rStyle w:val="CharStyle12"/>
          <w:rFonts w:ascii="Times New Roman" w:eastAsia="Times New Roman" w:hAnsi="Times New Roman" w:cs="Times New Roman"/>
          <w:color w:val="000000"/>
          <w:sz w:val="26"/>
          <w:szCs w:val="26"/>
        </w:rPr>
        <w:t>к</w:t>
        <w:tab/>
        <w:tab/>
        <w:tab/>
        <w:t>/</w:t>
      </w:r>
    </w:p>
    <w:p>
      <w:pPr>
        <w:pStyle w:val="Style26"/>
        <w:keepNext w:val="0"/>
        <w:keepLines w:val="0"/>
        <w:widowControl w:val="0"/>
        <w:shd w:val="clear" w:color="auto" w:fill="auto"/>
        <w:bidi w:val="0"/>
        <w:spacing w:before="0" w:after="0" w:line="240" w:lineRule="auto"/>
        <w:ind w:left="0" w:right="0" w:firstLine="0"/>
        <w:jc w:val="left"/>
        <w:rPr>
          <w:sz w:val="18"/>
          <w:szCs w:val="18"/>
        </w:rPr>
      </w:pPr>
      <w:r>
        <w:rPr>
          <w:rStyle w:val="CharStyle27"/>
          <w:sz w:val="18"/>
          <w:szCs w:val="18"/>
        </w:rPr>
        <w:t>Исп.: Абдуллина Э.И</w:t>
      </w:r>
    </w:p>
    <w:p>
      <w:pPr>
        <w:pStyle w:val="Style26"/>
        <w:keepNext w:val="0"/>
        <w:keepLines w:val="0"/>
        <w:widowControl w:val="0"/>
        <w:shd w:val="clear" w:color="auto" w:fill="auto"/>
        <w:bidi w:val="0"/>
        <w:spacing w:before="0" w:after="80" w:line="240" w:lineRule="auto"/>
        <w:ind w:left="0" w:right="0" w:firstLine="0"/>
        <w:jc w:val="left"/>
        <w:rPr>
          <w:sz w:val="18"/>
          <w:szCs w:val="18"/>
        </w:rPr>
      </w:pPr>
      <w:r>
        <w:rPr>
          <w:rStyle w:val="CharStyle27"/>
          <w:sz w:val="18"/>
          <w:szCs w:val="18"/>
        </w:rPr>
        <w:t>Тел. 8 (499) 755 23 23 (доб. 016-403).</w:t>
      </w:r>
    </w:p>
    <w:sectPr>
      <w:footnotePr>
        <w:pos w:val="pageBottom"/>
        <w:numFmt w:val="decimal"/>
        <w:numRestart w:val="continuous"/>
      </w:footnotePr>
      <w:type w:val="continuous"/>
      <w:pgSz w:w="11900" w:h="16840"/>
      <w:pgMar w:top="1273" w:right="537" w:bottom="1263"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248285</wp:posOffset>
              </wp:positionH>
              <wp:positionV relativeFrom="page">
                <wp:posOffset>10391140</wp:posOffset>
              </wp:positionV>
              <wp:extent cx="4718050" cy="231775"/>
              <wp:wrapNone/>
              <wp:docPr id="5" name="Shape 5"/>
              <a:graphic xmlns:a="http://schemas.openxmlformats.org/drawingml/2006/main">
                <a:graphicData uri="http://schemas.microsoft.com/office/word/2010/wordprocessingShape">
                  <wps:wsp>
                    <wps:cNvSpPr txBox="1"/>
                    <wps:spPr>
                      <a:xfrm>
                        <a:ext cx="471805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04-04/4040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05.05.2026. </w:t>
                          </w:r>
                          <w:r>
                            <w:rPr>
                              <w:rStyle w:val="CharStyle6"/>
                              <w:rFonts w:ascii="Arial" w:eastAsia="Arial" w:hAnsi="Arial" w:cs="Arial"/>
                              <w:sz w:val="16"/>
                              <w:szCs w:val="16"/>
                            </w:rPr>
                            <w:t>Исполнитель: Абдуллина Э.И.</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r>
                            <w:rPr>
                              <w:rStyle w:val="CharStyle6"/>
                              <w:rFonts w:ascii="Arial" w:eastAsia="Arial" w:hAnsi="Arial" w:cs="Arial"/>
                              <w:sz w:val="16"/>
                              <w:szCs w:val="16"/>
                              <w:lang w:val="en-US" w:eastAsia="en-US"/>
                            </w:rPr>
                            <w:t xml:space="preserve">2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9.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04.05.2026 19:05</w:t>
                          </w:r>
                        </w:p>
                      </w:txbxContent>
                    </wps:txbx>
                    <wps:bodyPr wrap="none" lIns="0" tIns="0" rIns="0" bIns="0">
                      <a:spAutoFit/>
                    </wps:bodyPr>
                  </wps:wsp>
                </a:graphicData>
              </a:graphic>
            </wp:anchor>
          </w:drawing>
        </mc:Choice>
        <mc:Fallback>
          <w:pict>
            <v:shape id="_x0000_s1031" type="#_x0000_t202" style="position:absolute;margin-left:19.550000000000001pt;margin-top:818.20000000000005pt;width:371.5pt;height:18.2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04-04/4040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05.05.2026. </w:t>
                    </w:r>
                    <w:r>
                      <w:rPr>
                        <w:rStyle w:val="CharStyle6"/>
                        <w:rFonts w:ascii="Arial" w:eastAsia="Arial" w:hAnsi="Arial" w:cs="Arial"/>
                        <w:sz w:val="16"/>
                        <w:szCs w:val="16"/>
                      </w:rPr>
                      <w:t>Исполнитель: Абдуллина Э.И.</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r>
                      <w:rPr>
                        <w:rStyle w:val="CharStyle6"/>
                        <w:rFonts w:ascii="Arial" w:eastAsia="Arial" w:hAnsi="Arial" w:cs="Arial"/>
                        <w:sz w:val="16"/>
                        <w:szCs w:val="16"/>
                        <w:lang w:val="en-US" w:eastAsia="en-US"/>
                      </w:rPr>
                      <w:t xml:space="preserve">2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9.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04.05.2026 19:05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-4445</wp:posOffset>
              </wp:positionH>
              <wp:positionV relativeFrom="page">
                <wp:posOffset>10273665</wp:posOffset>
              </wp:positionV>
              <wp:extent cx="7562215" cy="0"/>
              <wp:wrapNone/>
              <wp:docPr id="7" name="Shape 7"/>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35000000000000003pt;margin-top:808.95000000000005pt;width:595.45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250825</wp:posOffset>
              </wp:positionH>
              <wp:positionV relativeFrom="page">
                <wp:posOffset>10391140</wp:posOffset>
              </wp:positionV>
              <wp:extent cx="4718050" cy="231775"/>
              <wp:wrapNone/>
              <wp:docPr id="8" name="Shape 8"/>
              <a:graphic xmlns:a="http://schemas.openxmlformats.org/drawingml/2006/main">
                <a:graphicData uri="http://schemas.microsoft.com/office/word/2010/wordprocessingShape">
                  <wps:wsp>
                    <wps:cNvSpPr txBox="1"/>
                    <wps:spPr>
                      <a:xfrm>
                        <a:ext cx="471805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04-04/4040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05.05.2026. </w:t>
                          </w:r>
                          <w:r>
                            <w:rPr>
                              <w:rStyle w:val="CharStyle6"/>
                              <w:rFonts w:ascii="Arial" w:eastAsia="Arial" w:hAnsi="Arial" w:cs="Arial"/>
                              <w:sz w:val="16"/>
                              <w:szCs w:val="16"/>
                            </w:rPr>
                            <w:t>Исполнитель: Абдуллина Э.И.</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9.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04.05.2026 19:05</w:t>
                          </w:r>
                        </w:p>
                      </w:txbxContent>
                    </wps:txbx>
                    <wps:bodyPr wrap="none" lIns="0" tIns="0" rIns="0" bIns="0">
                      <a:spAutoFit/>
                    </wps:bodyPr>
                  </wps:wsp>
                </a:graphicData>
              </a:graphic>
            </wp:anchor>
          </w:drawing>
        </mc:Choice>
        <mc:Fallback>
          <w:pict>
            <v:shape id="_x0000_s1034" type="#_x0000_t202" style="position:absolute;margin-left:19.75pt;margin-top:818.20000000000005pt;width:371.5pt;height:18.25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04-04/4040 </w:t>
                    </w:r>
                    <w:r>
                      <w:rPr>
                        <w:rStyle w:val="CharStyle6"/>
                        <w:rFonts w:ascii="Arial" w:eastAsia="Arial" w:hAnsi="Arial" w:cs="Arial"/>
                        <w:sz w:val="16"/>
                        <w:szCs w:val="16"/>
                      </w:rPr>
                      <w:t xml:space="preserve">от </w:t>
                    </w:r>
                    <w:r>
                      <w:rPr>
                        <w:rStyle w:val="CharStyle6"/>
                        <w:rFonts w:ascii="Arial" w:eastAsia="Arial" w:hAnsi="Arial" w:cs="Arial"/>
                        <w:sz w:val="16"/>
                        <w:szCs w:val="16"/>
                        <w:lang w:val="en-US" w:eastAsia="en-US"/>
                      </w:rPr>
                      <w:t xml:space="preserve">05.05.2026. </w:t>
                    </w:r>
                    <w:r>
                      <w:rPr>
                        <w:rStyle w:val="CharStyle6"/>
                        <w:rFonts w:ascii="Arial" w:eastAsia="Arial" w:hAnsi="Arial" w:cs="Arial"/>
                        <w:sz w:val="16"/>
                        <w:szCs w:val="16"/>
                      </w:rPr>
                      <w:t>Исполнитель: Абдуллина Э.И.</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9.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04.05.2026 19:05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-2540</wp:posOffset>
              </wp:positionH>
              <wp:positionV relativeFrom="page">
                <wp:posOffset>10273665</wp:posOffset>
              </wp:positionV>
              <wp:extent cx="7562215" cy="0"/>
              <wp:wrapNone/>
              <wp:docPr id="10" name="Shape 10"/>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20000000000000001pt;margin-top:808.95000000000005pt;width:595.45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3921125</wp:posOffset>
              </wp:positionH>
              <wp:positionV relativeFrom="page">
                <wp:posOffset>494030</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75pt;margin-top:38.899999999999999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60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2">
    <w:name w:val="Body text (2)_"/>
    <w:basedOn w:val="DefaultParagraphFont"/>
    <w:link w:val="Style11"/>
    <w:rPr>
      <w:rFonts w:ascii="Arial" w:eastAsia="Arial" w:hAnsi="Arial" w:cs="Arial"/>
      <w:b w:val="0"/>
      <w:bCs w:val="0"/>
      <w:i w:val="0"/>
      <w:iCs w:val="0"/>
      <w:smallCaps w:val="0"/>
      <w:strike w:val="0"/>
      <w:color w:val="373737"/>
      <w:sz w:val="14"/>
      <w:szCs w:val="14"/>
      <w:u w:val="none"/>
    </w:rPr>
  </w:style>
  <w:style w:type="character" w:customStyle="1" w:styleId="CharStyle21">
    <w:name w:val="Table caption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Body text (4)_"/>
    <w:basedOn w:val="DefaultParagraphFont"/>
    <w:link w:val="Style26"/>
    <w:rPr>
      <w:rFonts w:ascii="Times New Roman" w:eastAsia="Times New Roman" w:hAnsi="Times New Roman" w:cs="Times New Roman"/>
      <w:b/>
      <w:bCs/>
      <w:i w:val="0"/>
      <w:iCs w:val="0"/>
      <w:smallCaps w:val="0"/>
      <w:strike w:val="0"/>
      <w:sz w:val="19"/>
      <w:szCs w:val="19"/>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3)"/>
    <w:basedOn w:val="Normal"/>
    <w:link w:val="CharStyle9"/>
    <w:pPr>
      <w:widowControl w:val="0"/>
      <w:shd w:val="clear" w:color="auto" w:fill="auto"/>
      <w:spacing w:after="130"/>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customStyle="1" w:styleId="Style11">
    <w:name w:val="Body text (2)"/>
    <w:basedOn w:val="Normal"/>
    <w:link w:val="CharStyle12"/>
    <w:pPr>
      <w:widowControl w:val="0"/>
      <w:shd w:val="clear" w:color="auto" w:fill="auto"/>
      <w:spacing w:after="40" w:line="257" w:lineRule="auto"/>
      <w:ind w:left="3150"/>
    </w:pPr>
    <w:rPr>
      <w:rFonts w:ascii="Arial" w:eastAsia="Arial" w:hAnsi="Arial" w:cs="Arial"/>
      <w:b w:val="0"/>
      <w:bCs w:val="0"/>
      <w:i w:val="0"/>
      <w:iCs w:val="0"/>
      <w:smallCaps w:val="0"/>
      <w:strike w:val="0"/>
      <w:color w:val="373737"/>
      <w:sz w:val="14"/>
      <w:szCs w:val="14"/>
      <w:u w:val="none"/>
    </w:rPr>
  </w:style>
  <w:style w:type="paragraph" w:customStyle="1" w:styleId="Style20">
    <w:name w:val="Table caption"/>
    <w:basedOn w:val="Normal"/>
    <w:link w:val="CharStyle21"/>
    <w:pPr>
      <w:widowControl w:val="0"/>
      <w:shd w:val="clear" w:color="auto" w:fill="auto"/>
      <w:ind w:firstLine="720"/>
    </w:pPr>
    <w:rPr>
      <w:rFonts w:ascii="Times New Roman" w:eastAsia="Times New Roman" w:hAnsi="Times New Roman" w:cs="Times New Roman"/>
      <w:b w:val="0"/>
      <w:bCs w:val="0"/>
      <w:i w:val="0"/>
      <w:iCs w:val="0"/>
      <w:smallCaps w:val="0"/>
      <w:strike w:val="0"/>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Body text (4)"/>
    <w:basedOn w:val="Normal"/>
    <w:link w:val="CharStyle27"/>
    <w:pPr>
      <w:widowControl w:val="0"/>
      <w:shd w:val="clear" w:color="auto" w:fill="auto"/>
      <w:spacing w:after="100" w:line="259"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28">
    <w:name w:val="Body text (5)"/>
    <w:basedOn w:val="Normal"/>
    <w:link w:val="CharStyle29"/>
    <w:pPr>
      <w:widowControl w:val="0"/>
      <w:shd w:val="clear" w:color="auto" w:fill="auto"/>
      <w:spacing w:after="580"/>
      <w:jc w:val="center"/>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