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17220" cy="72707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17220" cy="7270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3"/>
        </w:rPr>
        <w:t>АНТИМОНОПОЛЬНАЯ СЛУЖБА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5"/>
        </w:rPr>
        <w:t>УПРАВЛЕНИЕ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52" w:lineRule="auto"/>
        <w:ind w:left="0" w:right="0" w:firstLine="0"/>
        <w:jc w:val="center"/>
      </w:pPr>
      <w:r>
        <w:rPr>
          <w:rStyle w:val="CharStyle3"/>
        </w:rPr>
        <w:t>Федеральной антимонопольной службы</w:t>
        <w:br/>
        <w:t>по Архангельской области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7"/>
        </w:rPr>
        <w:t>ул. КЛибкнехта, д.3, корп.1,</w:t>
        <w:br/>
        <w:t>['.Архангельск, 163000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7"/>
        </w:rPr>
        <w:t>Тел.: (8182) 20-73-21, Факс: (8182) 21 -54-45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7"/>
          <w:lang w:val="en-US" w:eastAsia="en-US"/>
        </w:rPr>
        <w:t xml:space="preserve">e-mail: </w:t>
      </w:r>
      <w:r>
        <w:fldChar w:fldCharType="begin"/>
      </w:r>
      <w:r>
        <w:rPr/>
        <w:instrText> HYPERLINK "mailto:to29@fas.gov.ru" </w:instrText>
      </w:r>
      <w:r>
        <w:fldChar w:fldCharType="separate"/>
      </w:r>
      <w:r>
        <w:rPr>
          <w:rStyle w:val="CharStyle7"/>
          <w:lang w:val="en-US" w:eastAsia="en-US"/>
        </w:rPr>
        <w:t>to29@fas.gov.ru</w:t>
      </w:r>
      <w:r>
        <w:fldChar w:fldCharType="end"/>
      </w:r>
    </w:p>
    <w:p>
      <w:pPr>
        <w:widowControl w:val="0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</w:rPr>
        <w:t xml:space="preserve">На №  от 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left"/>
      </w:pPr>
      <w:r>
        <w:rPr>
          <w:rStyle w:val="CharStyle3"/>
          <w:b/>
          <w:bCs/>
        </w:rPr>
        <w:t>Дело № 69мз-26 029/06/105-405/2026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>Заказчик: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3"/>
          <w:b/>
          <w:bCs/>
        </w:rPr>
        <w:t>МУК «Котласский культурно- досуговый комплекс»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3"/>
        </w:rPr>
        <w:t>165300, Архангельская область, г.Котлас, ул. Мелентьева, д. 18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71" w:lineRule="auto"/>
        <w:ind w:left="0" w:right="0" w:firstLine="0"/>
        <w:jc w:val="left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"mailto:kotlasdk@yandex.ru" </w:instrText>
      </w:r>
      <w:r>
        <w:fldChar w:fldCharType="separate"/>
      </w:r>
      <w:r>
        <w:rPr>
          <w:rStyle w:val="CharStyle3"/>
          <w:lang w:val="en-US" w:eastAsia="en-US"/>
        </w:rPr>
        <w:t>kotlasdk@yandex.ru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 xml:space="preserve">Уполномоченный орган : </w:t>
      </w:r>
      <w:r>
        <w:rPr>
          <w:rStyle w:val="CharStyle3"/>
          <w:b/>
          <w:bCs/>
        </w:rPr>
        <w:t xml:space="preserve">Администрация городского округа Архангельской области ’’Котлас” </w:t>
      </w:r>
      <w:r>
        <w:rPr>
          <w:rStyle w:val="CharStyle3"/>
        </w:rPr>
        <w:t>165300, Архангельская область, г.Котлас, Советов пл, д. 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0" w:right="0" w:firstLine="0"/>
        <w:jc w:val="left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"mailto:kotlas.okp@yandex.ru" </w:instrText>
      </w:r>
      <w:r>
        <w:fldChar w:fldCharType="separate"/>
      </w:r>
      <w:r>
        <w:rPr>
          <w:rStyle w:val="CharStyle3"/>
          <w:lang w:val="en-US" w:eastAsia="en-US"/>
        </w:rPr>
        <w:t>kotlas.okp@yandex.ru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3"/>
          <w:b/>
          <w:bCs/>
          <w:u w:val="single"/>
        </w:rPr>
        <w:t xml:space="preserve">Оператор электронной площадки: </w:t>
      </w:r>
      <w:r>
        <w:rPr>
          <w:rStyle w:val="CharStyle3"/>
          <w:b/>
          <w:bCs/>
        </w:rPr>
        <w:t>ООО «РТС-тендер»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"/>
        </w:rPr>
        <w:t>121151, г. Москва, набережная Тараса Шевченко, д. 23А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headerReference w:type="default" r:id="rId7"/>
          <w:head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615" w:right="770" w:bottom="782" w:left="1806" w:header="0" w:footer="3" w:gutter="0"/>
          <w:pgNumType w:start="1"/>
          <w:cols w:num="2" w:space="778"/>
          <w:noEndnote/>
          <w:rtlGutter w:val="0"/>
          <w:docGrid w:linePitch="360"/>
        </w:sectPr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3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line="162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5" w:right="0" w:bottom="74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460" w:right="0" w:firstLine="0"/>
        <w:jc w:val="left"/>
      </w:pPr>
      <w:r>
        <w:rPr>
          <w:rStyle w:val="CharStyle3"/>
          <w:b/>
          <w:bCs/>
          <w:u w:val="single"/>
        </w:rPr>
        <w:t>Заявитель: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460" w:right="0" w:firstLine="20"/>
        <w:jc w:val="left"/>
      </w:pPr>
      <w:r>
        <w:rPr>
          <w:rStyle w:val="CharStyle3"/>
          <w:b/>
          <w:bCs/>
        </w:rPr>
        <w:t>Общество с ограниченной ответственностью «За Достойную жизнь»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460" w:right="0" w:firstLine="20"/>
        <w:jc w:val="left"/>
      </w:pPr>
      <w:r>
        <w:rPr>
          <w:rStyle w:val="CharStyle3"/>
        </w:rPr>
        <w:t>107023, г.Москва, вн.тер.г, муниципальный округ Соколиная гора, пер Барабанный, д. 3, помещ. 6/4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/>
        <w:ind w:left="5460" w:right="0" w:firstLine="20"/>
        <w:jc w:val="left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"mailto:zakaz@ooozdj.ru" </w:instrText>
      </w:r>
      <w:r>
        <w:fldChar w:fldCharType="separate"/>
      </w:r>
      <w:r>
        <w:rPr>
          <w:rStyle w:val="CharStyle3"/>
          <w:lang w:val="en-US" w:eastAsia="en-US"/>
        </w:rPr>
        <w:t>zakaz@ooozdj.ru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center"/>
      </w:pPr>
      <w:r>
        <w:rPr>
          <w:rStyle w:val="CharStyle3"/>
          <w:b/>
          <w:bCs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906" w:val="left"/>
        </w:tabs>
        <w:bidi w:val="0"/>
        <w:spacing w:before="0" w:after="0"/>
        <w:ind w:left="0" w:right="0" w:firstLine="0"/>
        <w:jc w:val="both"/>
      </w:pPr>
      <w:r>
        <w:rPr>
          <w:rStyle w:val="CharStyle3"/>
          <w:b/>
          <w:bCs/>
        </w:rPr>
        <w:t>29 апреля 2026 года</w:t>
        <w:tab/>
        <w:t>г. Архангельск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3"/>
        </w:rPr>
        <w:t>Руководствуясь Письмом ФАС России от 03.04.2020 № 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720"/>
        <w:jc w:val="both"/>
      </w:pPr>
      <w:r>
        <w:rPr>
          <w:rStyle w:val="CharStyle3"/>
          <w:b/>
          <w:bCs/>
          <w:u w:val="single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76" w:lineRule="auto"/>
        <w:ind w:left="2240" w:right="0" w:hanging="2240"/>
        <w:jc w:val="both"/>
      </w:pPr>
      <w:r>
        <w:rPr>
          <w:rStyle w:val="CharStyle3"/>
        </w:rPr>
        <w:t>Малышева О.С. Заместитель руководителя Управления - начальник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left"/>
      </w:pPr>
      <w:r>
        <w:rPr>
          <w:rStyle w:val="CharStyle3"/>
          <w:b/>
          <w:bCs/>
          <w:u w:val="single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3"/>
        </w:rPr>
        <w:t>Вознесенская Н.В. Главный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189" w:val="left"/>
        </w:tabs>
        <w:bidi w:val="0"/>
        <w:spacing w:before="0" w:after="0" w:line="257" w:lineRule="auto"/>
        <w:ind w:left="0" w:right="0" w:firstLine="0"/>
        <w:jc w:val="left"/>
      </w:pPr>
      <w:r>
        <w:rPr>
          <w:rStyle w:val="CharStyle3"/>
        </w:rPr>
        <w:t>Елисеенков А.А.</w:t>
        <w:tab/>
        <w:t>Главный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57" w:lineRule="auto"/>
        <w:ind w:left="0" w:right="0" w:firstLine="720"/>
        <w:jc w:val="both"/>
      </w:pPr>
      <w:r>
        <w:rPr>
          <w:rStyle w:val="CharStyle3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/>
        <w:ind w:left="0" w:right="0" w:firstLine="800"/>
        <w:jc w:val="both"/>
      </w:pPr>
      <w:bookmarkStart w:id="2" w:name="bookmark2"/>
      <w:r>
        <w:rPr>
          <w:rStyle w:val="CharStyle13"/>
          <w:b/>
          <w:bCs/>
        </w:rPr>
        <w:t>в присутствии представителей от: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800"/>
        <w:jc w:val="both"/>
      </w:pPr>
      <w:r>
        <w:rPr>
          <w:rStyle w:val="CharStyle3"/>
          <w:b/>
          <w:bCs/>
        </w:rPr>
        <w:t xml:space="preserve">Уполномоченного органа: </w:t>
      </w:r>
      <w:r>
        <w:rPr>
          <w:rStyle w:val="CharStyle3"/>
        </w:rPr>
        <w:t>Козиной Е.А. (доверенность от 28.04.2026 № 01-20/73 6).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800"/>
        <w:jc w:val="both"/>
      </w:pPr>
      <w:r>
        <w:rPr>
          <w:rStyle w:val="CharStyle3"/>
          <w:b/>
          <w:bCs/>
        </w:rPr>
        <w:t xml:space="preserve">Заказчик, Заявитель </w:t>
      </w:r>
      <w:r>
        <w:rPr>
          <w:rStyle w:val="CharStyle3"/>
        </w:rPr>
        <w:t>уведомлены надлежащим образом о времени и месте рассмотрения настоящего дела, своих представителей не направили.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4" w:name="bookmark4"/>
      <w:r>
        <w:rPr>
          <w:rStyle w:val="CharStyle13"/>
          <w:b/>
          <w:bCs/>
          <w:u w:val="none"/>
        </w:rPr>
        <w:t>УСТАНОВИЛА: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800"/>
        <w:jc w:val="both"/>
      </w:pPr>
      <w:r>
        <w:rPr>
          <w:rStyle w:val="CharStyle3"/>
        </w:rPr>
        <w:t>23 апреля 2026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Общества с ограниченной ответственностью «За Достойную жизнь» (далее - Заявитель) на действия заказчика - МУК «Котласский культурно-досуговый комплекс» (далее - Заказчик), Уполномоченного органа - Администрации городского округа Архангельской области "Котлас" (далее - Уполномоченный орган), при проведении электронного аукциона на право заключения контракта на поставку акустической системы - звуковая колонна с активным сабвуфером (извещение № 0124300019326000060).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71" w:lineRule="auto"/>
        <w:ind w:left="0" w:right="0" w:firstLine="800"/>
        <w:jc w:val="both"/>
      </w:pPr>
      <w:bookmarkStart w:id="6" w:name="bookmark6"/>
      <w:r>
        <w:rPr>
          <w:rStyle w:val="CharStyle13"/>
          <w:b/>
          <w:bCs/>
        </w:rPr>
        <w:t>Содержание жалобы: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71" w:lineRule="auto"/>
        <w:ind w:left="0" w:right="0" w:firstLine="800"/>
        <w:jc w:val="both"/>
      </w:pPr>
      <w:r>
        <w:rPr>
          <w:rStyle w:val="CharStyle3"/>
        </w:rPr>
        <w:t>Заявитель обжалует действия Заказчика в связи с размещением извещения, не соответствующего требованиям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00"/>
        <w:jc w:val="both"/>
      </w:pPr>
      <w:r>
        <w:rPr>
          <w:rStyle w:val="CharStyle3"/>
        </w:rPr>
        <w:t>Заказчик не согласен с доводами Заявителя по основаниям, изложенным в объяснении по жалобе от 27.04.2026 № 121.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800"/>
        <w:jc w:val="both"/>
      </w:pPr>
      <w:r>
        <w:rPr>
          <w:rStyle w:val="CharStyle3"/>
        </w:rPr>
        <w:t>Уполномоченный орган не согласен с доводами Заявителя по основаниям, изложенным в объяснении по жалобе от 27.04.2026 № 08-12/3.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800"/>
        <w:jc w:val="both"/>
      </w:pPr>
      <w:r>
        <w:rPr>
          <w:rStyle w:val="CharStyle3"/>
          <w:b/>
          <w:bCs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66" w:lineRule="auto"/>
        <w:ind w:left="0" w:right="0" w:firstLine="800"/>
        <w:jc w:val="both"/>
      </w:pPr>
      <w:r>
        <w:rPr>
          <w:rStyle w:val="CharStyle3"/>
        </w:rPr>
        <w:t xml:space="preserve">.04.2026 Уполномоченным органом на официальном сайте единой информационной системы в сфере закупок в сети Интернет </w:t>
      </w:r>
      <w:r>
        <w:fldChar w:fldCharType="begin"/>
      </w:r>
      <w:r>
        <w:rPr/>
        <w:instrText> HYPERLINK "http://zakupki.gov.ru" </w:instrText>
      </w:r>
      <w:r>
        <w:fldChar w:fldCharType="separate"/>
      </w:r>
      <w:r>
        <w:rPr>
          <w:rStyle w:val="CharStyle3"/>
          <w:lang w:val="en-US" w:eastAsia="en-US"/>
        </w:rPr>
        <w:t>http://zakupki.gov.ru</w:t>
      </w:r>
      <w:r>
        <w:fldChar w:fldCharType="end"/>
      </w:r>
      <w:r>
        <w:rPr>
          <w:rStyle w:val="CharStyle3"/>
          <w:lang w:val="en-US" w:eastAsia="en-US"/>
        </w:rPr>
        <w:t xml:space="preserve"> </w:t>
      </w:r>
      <w:r>
        <w:rPr>
          <w:rStyle w:val="CharStyle3"/>
        </w:rPr>
        <w:t>размещено извещение №0124300019326000060 о проведении электронного аукциона на право заключения контракта на поставку акустической системы - звуковая колонна с активным сабвуфером (далее - Извещение).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800"/>
        <w:jc w:val="both"/>
      </w:pPr>
      <w:r>
        <w:rPr>
          <w:rStyle w:val="CharStyle3"/>
        </w:rPr>
        <w:t>Начальная (максимальная) цена контракта - 309 090,68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66" w:lineRule="auto"/>
        <w:ind w:left="0" w:right="0" w:firstLine="800"/>
        <w:jc w:val="both"/>
      </w:pPr>
      <w:r>
        <w:rPr>
          <w:rStyle w:val="CharStyle3"/>
        </w:rPr>
        <w:t>Оператор электронной площадки - ООО «РТС-тендер».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2" w:val="left"/>
        </w:tabs>
        <w:bidi w:val="0"/>
        <w:spacing w:before="0" w:after="280" w:line="266" w:lineRule="auto"/>
        <w:ind w:left="0" w:right="0" w:firstLine="800"/>
        <w:jc w:val="both"/>
      </w:pPr>
      <w:r>
        <w:rPr>
          <w:rStyle w:val="CharStyle3"/>
        </w:rPr>
        <w:t xml:space="preserve">, 2, </w:t>
      </w:r>
      <w:r>
        <w:rPr>
          <w:rStyle w:val="CharStyle3"/>
          <w:i/>
          <w:iCs/>
        </w:rPr>
        <w:t>3. Заявитель в жалобе указывает, что на рынке нет двух подходящих, в соответствии с паспортом изделия, товаров. При этом, описание объекта закупки сформировано так, что под требования Извещения не подходит ни один товар производства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800"/>
        <w:jc w:val="both"/>
      </w:pPr>
      <w:r>
        <w:rPr>
          <w:rStyle w:val="CharStyle3"/>
        </w:rPr>
        <w:t>Пунктом 1 части 2 статьи 42 ФЗ «О контрактной системе» установлено, что извещение об осуществлении закупки должно содержать электронный документ: описание объекта закупки в соответствии с положениями статьи 33 указанного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62" w:lineRule="auto"/>
        <w:ind w:left="0" w:right="0" w:firstLine="800"/>
        <w:jc w:val="both"/>
      </w:pPr>
      <w:r>
        <w:rPr>
          <w:rStyle w:val="CharStyle3"/>
        </w:rPr>
        <w:t>В силу пункта 1 части 1 статьи 33 ФЗ «О контрактной системе» Заказчик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промьппленных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leader="underscore" w:pos="2624" w:val="left"/>
          <w:tab w:leader="underscore" w:pos="3733" w:val="left"/>
          <w:tab w:leader="underscore" w:pos="9187" w:val="left"/>
        </w:tabs>
        <w:bidi w:val="0"/>
        <w:spacing w:before="0" w:after="120" w:line="240" w:lineRule="auto"/>
        <w:ind w:left="0" w:right="0" w:firstLine="0"/>
        <w:jc w:val="both"/>
        <w:rPr>
          <w:sz w:val="16"/>
          <w:szCs w:val="16"/>
        </w:rPr>
      </w:pPr>
      <w:r>
        <w:rPr>
          <w:rStyle w:val="CharStyle7"/>
          <w:b/>
          <w:bCs/>
          <w:sz w:val="16"/>
          <w:szCs w:val="16"/>
          <w:lang w:val="en-US" w:eastAsia="en-US"/>
        </w:rPr>
        <w:tab/>
        <w:tab/>
        <w:tab/>
      </w:r>
      <w:r>
        <w:rPr>
          <w:rStyle w:val="CharStyle7"/>
          <w:b/>
          <w:bCs/>
          <w:sz w:val="16"/>
          <w:szCs w:val="16"/>
          <w:u w:val="single"/>
        </w:rPr>
        <w:t>ДЗ/5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6" w:val="left"/>
        </w:tabs>
        <w:bidi w:val="0"/>
        <w:spacing w:before="0" w:after="0"/>
        <w:ind w:left="0" w:right="0" w:firstLine="740"/>
        <w:jc w:val="both"/>
      </w:pPr>
      <w:r>
        <w:rPr>
          <w:rStyle w:val="CharStyle3"/>
        </w:rPr>
        <w:t>сопровождение такого указания словами "или эквивалент";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1" w:val="left"/>
        </w:tabs>
        <w:bidi w:val="0"/>
        <w:spacing w:before="0" w:after="0"/>
        <w:ind w:left="0" w:right="0" w:firstLine="740"/>
        <w:jc w:val="both"/>
      </w:pPr>
      <w:r>
        <w:rPr>
          <w:rStyle w:val="CharStyle3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4" w:val="left"/>
        </w:tabs>
        <w:bidi w:val="0"/>
        <w:spacing w:before="0" w:after="0"/>
        <w:ind w:left="0" w:right="0" w:firstLine="740"/>
        <w:jc w:val="both"/>
      </w:pPr>
      <w:r>
        <w:rPr>
          <w:rStyle w:val="CharStyle3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40"/>
        <w:jc w:val="both"/>
      </w:pPr>
      <w:r>
        <w:rPr>
          <w:rStyle w:val="CharStyle3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Согласно части 2 статьи 33 ФЗ «О контрактной системе» описание объекта закупки в соответствии с требованиями, указанными в части 1 данной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Таким образом, при осуществлении закупки Заказчик вправе не только выбрать ее предмет, но и обязан определить его и описать в соответствии с нормами ФЗ «О контрактной системе» именно таким образом, чтобы участник закупки смог подать заявку на участие в торгах, соответствующую объективным и обоснованным требованиям Заказчика. При этом заказчик вправе в необходимой степени детализировать требования к товару, так как ФЗ «О контрактной системе» не содержит норм, ограничивающих право заказчика включать в документацию об аукционе требования к объекту закупки, которые являются для него значимыми, а также норм, обязывающих заказчика устанавливать в документации,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Согласно Извещению объектом закупки является поставка акустической системы, с кодом КТРУ 26.40.31.190-00000011.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Раздел «Объект закупки» Извещения, а также файл «Описание объекта закупки», являющийся неотъемлемой частью Извещения (далее - Описание объекта закупки), содержит таблицу, в которой установлены требования к указанным товарам.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740"/>
        <w:jc w:val="both"/>
      </w:pPr>
      <w:r>
        <w:rPr>
          <w:rStyle w:val="CharStyle3"/>
        </w:rPr>
        <w:t>Рассмотрев материалы дела, Комиссия Архангельского УФАС России отмечает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40"/>
        <w:jc w:val="both"/>
      </w:pPr>
      <w:r>
        <w:rPr>
          <w:rStyle w:val="CharStyle3"/>
        </w:rPr>
        <w:t xml:space="preserve">Как следует из письменных пояснений Заказчика (в материалы представлена информация по характеристикам нескольких производителей), установленным характеристикам соответствуют товары нескольких производителей (производитель Енисей модель «Пирамида»; НК </w:t>
      </w:r>
      <w:r>
        <w:rPr>
          <w:rStyle w:val="CharStyle3"/>
          <w:lang w:val="en-US" w:eastAsia="en-US"/>
        </w:rPr>
        <w:t xml:space="preserve">Audio Polar </w:t>
      </w:r>
      <w:r>
        <w:rPr>
          <w:rStyle w:val="CharStyle3"/>
        </w:rPr>
        <w:t xml:space="preserve">12 </w:t>
      </w:r>
      <w:r>
        <w:rPr>
          <w:rStyle w:val="CharStyle3"/>
          <w:lang w:val="en-US" w:eastAsia="en-US"/>
        </w:rPr>
        <w:t>mk2; Soundking Artos 1000).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40"/>
        <w:jc w:val="both"/>
      </w:pPr>
      <w:r>
        <w:rPr>
          <w:rStyle w:val="CharStyle3"/>
        </w:rPr>
        <w:t>По общему правилу указание .Заказчиком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 (п.1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(утв. Президиумом Верховного Суда РФ 28.06.2017)).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59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5" w:right="817" w:bottom="747" w:left="1364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Основной задачей законодательства, устанавливающего порядок проведения торгов,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закупок. Отсутствие у каких-либо лиц, заинтересованных в заключении контракта, возможности поставить товар, соответствующий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9180" w:val="left"/>
        </w:tabs>
        <w:bidi w:val="0"/>
        <w:spacing w:before="0" w:after="0" w:line="290" w:lineRule="auto"/>
        <w:ind w:left="0" w:right="0" w:firstLine="0"/>
        <w:jc w:val="both"/>
      </w:pPr>
      <w:r>
        <w:rPr>
          <w:rStyle w:val="CharStyle3"/>
          <w:b/>
          <w:bCs/>
          <w:sz w:val="16"/>
          <w:szCs w:val="16"/>
          <w:lang w:val="en-US" w:eastAsia="en-US"/>
        </w:rPr>
        <w:tab/>
      </w:r>
      <w:r>
        <w:rPr>
          <w:rStyle w:val="CharStyle3"/>
          <w:b/>
          <w:bCs/>
          <w:sz w:val="16"/>
          <w:szCs w:val="16"/>
          <w:u w:val="single"/>
          <w:lang w:val="en-US" w:eastAsia="en-US"/>
        </w:rPr>
        <w:t xml:space="preserve">f4/5 </w:t>
      </w:r>
      <w:r>
        <w:rPr>
          <w:rStyle w:val="CharStyle3"/>
        </w:rPr>
        <w:t>потребностям Заказчика, не свидетельствует о нарушении Заказчиком прав этих лиц, а также ограничении заказчиком числа участников торгов.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3"/>
        </w:rPr>
        <w:t>Заказчик установил требования к товару исходя из своей потребности, из назначения такого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3"/>
        </w:rPr>
        <w:t>ФЗ «О контрактной системе» не содержит норм, ограничивающих право заказчика включать в извещение о проведении закупки требования к объекту закупки, которые являются для него значимыми, равно как и норм, обязывающих заказчика устанавливать в этом Извещении, вопреки его потребностям, такие требования к характеристикам объекта закупки, которые соответствовали бы всем существующим видам товаров, работ, услуг.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3"/>
        </w:rPr>
        <w:t>В данном случае установление в Извещении иных требований к характеристикам . закупаемых товаров не будет служить цели удовлетворения потребности заказчика. Доказательств обратного Комиссии Архангельского УФАС России представлено не было.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3"/>
        </w:rPr>
        <w:t>Участником закупки может выступать любое лицо, готовое поставить товар, отвечающий требованиям Извещения и требованиям Заказчика. Объективные причины невозможности приобретения товара с требуемыми Заказчику характеристиками Заявителем в жалобе не представлены.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3"/>
        </w:rPr>
        <w:t>Согласно пояснениям Заказчика в заседании Комиссии Архангельского УФАС России при описании характеристик закупаемого товара он руководствовался своей потребностью, указав все необходимые показатели, используемые для определения соответствия предлагаемых товаров нуждам заказчика.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3"/>
        </w:rPr>
        <w:t>Вместе с тем, на заседание Комиссии Архангельского УФАС России Заявитель не явился, при этом в жалобе не представлены документы и сведения, свидетельствующие о нарушении законных прав и интересов Заявителя, а также анализ рынка и доказательства того, что под указанные Заказчиком характеристики подходит товар только одного производителя, о наличии препятствий при формировании и подаче заявки с учетом требований Извещения к составу заявки. Кроме того, Заявителем не указано, какие именно характеристики являются «блокирующими» и не позволяют предложить товар, соответствующий требованиям Заказчика.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3"/>
        </w:rPr>
        <w:t>С учетом вышеизложенного, Комиссия Архангельского УФАС России приходит к выводу о том, что Заказчик при формировании описания объекта закупки руководствовался объективными потребностями, при этом соблюдая условия о недопущении ограничения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60"/>
        <w:jc w:val="both"/>
      </w:pPr>
      <w:r>
        <w:rPr>
          <w:rStyle w:val="CharStyle3"/>
          <w:b/>
          <w:bCs/>
        </w:rPr>
        <w:t>Таким образом, довод Заявителя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3"/>
          <w:i/>
          <w:iCs/>
        </w:rPr>
        <w:t>4. В жалобе указано, что если Заказчик отменит закупку № 0124300019326000060, то это будет неправомерно.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3"/>
        </w:rPr>
        <w:t>В силу пункта 1 части 2 статьи 36 ФЗ «О контрактной системе» при проведении электронных процедур, закрытых электронных процедур заказчик не позднее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закупки, подписывает его усиленной электронной подписью лица, имеющего право действовать от имени заказчика, и размещает его в единой информационной системе. С момента размещения указанного извещения в единой информационной системе закупка считается отмененной. При проведении закрытых электронных процедур такое извещение не размещается на официальном сайте.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3"/>
        </w:rPr>
        <w:t>Комиссия Архангельского УФАС России, проанализировав информацию и документы по закупке № 0124300019326000060, размещенные в ЕИС, установила, что электронный аукцион на поставку акустической системы - звуковая колонна с активным сабвуфером Заказчиком не отменен.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3"/>
        </w:rPr>
        <w:t>При этом, в соответствии с протоколом подведения итогов определения поставщика от 27.04.2026 на участие в закупке было подано 2 заявки, признанные соответствующими требованиям Извещения.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3"/>
          <w:b/>
          <w:bCs/>
        </w:rPr>
        <w:t>Таким образом, довод Заявителя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3"/>
        </w:rPr>
        <w:t>Также в жалобе Заявителя указано, что в действиях Заказчика имеется нарушение Федерального закона от 26.07.2006 № 13 5-ФЗ "О защите конкуренции" (далее - ФЗ «О защите конкуренции») в части картельного сговора между поставщиками закупаемой продукции.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0" w:right="0" w:firstLine="740"/>
        <w:jc w:val="both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margin">
              <wp:posOffset>2189480</wp:posOffset>
            </wp:positionH>
            <wp:positionV relativeFrom="margin">
              <wp:posOffset>3386455</wp:posOffset>
            </wp:positionV>
            <wp:extent cx="3392170" cy="220853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392170" cy="22085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3"/>
        </w:rPr>
        <w:t>Комиссия Архангельского УФАС России не уполномочена рассматривать жалобы в части нарушения положений ФЗ «О защите конкуренции».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40"/>
        <w:jc w:val="both"/>
      </w:pPr>
      <w:r>
        <w:rPr>
          <w:rStyle w:val="CharStyle3"/>
        </w:rPr>
        <w:t>При проведении внеплановой проверки на основании пункта 1 части 15 статьи 99 ФЗ «О контрактной системе» данной закупки нарушений законодательства РФ о контрактной системе не выявлено.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66" w:lineRule="auto"/>
        <w:ind w:left="0" w:right="0" w:firstLine="740"/>
        <w:jc w:val="both"/>
      </w:pPr>
      <w:r>
        <w:rPr>
          <w:rStyle w:val="CharStyle3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8" w:name="bookmark8"/>
      <w:r>
        <w:rPr>
          <w:rStyle w:val="CharStyle13"/>
          <w:b/>
          <w:bCs/>
          <w:u w:val="none"/>
        </w:rPr>
        <w:t>РЕШИЛА:</w:t>
      </w:r>
      <w:bookmarkEnd w:id="8"/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9" w:val="left"/>
        </w:tabs>
        <w:bidi w:val="0"/>
        <w:spacing w:before="0" w:after="0" w:line="266" w:lineRule="auto"/>
        <w:ind w:left="0" w:right="0" w:firstLine="740"/>
        <w:jc w:val="both"/>
      </w:pPr>
      <w:r>
        <w:rPr>
          <w:rStyle w:val="CharStyle3"/>
        </w:rPr>
        <w:t>Признать жалобу Общества с ограниченной ответственностью «За Достойную жизнь» необоснованной.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2" w:val="left"/>
        </w:tabs>
        <w:bidi w:val="0"/>
        <w:spacing w:before="0" w:after="480" w:line="266" w:lineRule="auto"/>
        <w:ind w:left="0" w:right="0" w:firstLine="740"/>
        <w:jc w:val="both"/>
      </w:pPr>
      <w:r>
        <w:rPr>
          <w:rStyle w:val="CharStyle3"/>
        </w:rPr>
        <w:t>Передать материалы дела в профильный отдел Архангельского УФАС России для выявления признаков нарушений ФЗ "О защите конкуренции".</w:t>
      </w:r>
    </w:p>
    <w:p>
      <w:pPr>
        <w:pStyle w:val="Style24"/>
        <w:keepNext w:val="0"/>
        <w:keepLines w:val="0"/>
        <w:widowControl w:val="0"/>
        <w:shd w:val="clear" w:color="auto" w:fill="auto"/>
        <w:tabs>
          <w:tab w:pos="7603" w:val="left"/>
        </w:tabs>
        <w:bidi w:val="0"/>
        <w:spacing w:before="0"/>
        <w:ind w:left="0" w:right="0" w:firstLine="0"/>
        <w:jc w:val="both"/>
      </w:pPr>
      <w:r>
        <w:rPr>
          <w:rStyle w:val="CharStyle25"/>
          <w:i/>
          <w:iCs/>
          <w:u w:val="single"/>
        </w:rPr>
        <w:t>Примечание.</w:t>
      </w:r>
      <w:r>
        <w:rPr>
          <w:rStyle w:val="CharStyle25"/>
          <w:i/>
          <w:iCs/>
        </w:rPr>
        <w:t xml:space="preserve"> 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  <w:tab/>
      </w:r>
      <w:r>
        <w:rPr>
          <w:rStyle w:val="CharStyle25"/>
          <w:i/>
          <w:iCs/>
          <w:color w:val="21194E"/>
        </w:rPr>
        <w:t>/у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3"/>
          <w:b/>
          <w:bCs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5789930</wp:posOffset>
                </wp:positionH>
                <wp:positionV relativeFrom="margin">
                  <wp:posOffset>4128770</wp:posOffset>
                </wp:positionV>
                <wp:extent cx="1158875" cy="17399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88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О.С. Малышева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55.90000000000003pt;margin-top:325.10000000000002pt;width:91.25pt;height:13.700000000000001pt;z-index:-125829375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О.С. Малышева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872490</wp:posOffset>
                </wp:positionH>
                <wp:positionV relativeFrom="margin">
                  <wp:posOffset>4474210</wp:posOffset>
                </wp:positionV>
                <wp:extent cx="1227455" cy="17399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745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8.700000000000003pt;margin-top:352.30000000000001pt;width:96.650000000000006pt;height:13.700000000000001pt;z-index:-125829373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rStyle w:val="CharStyle3"/>
          <w:b/>
          <w:bCs/>
        </w:rPr>
        <w:t>Н.В. Вознесенская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rStyle w:val="CharStyle3"/>
          <w:b/>
          <w:bCs/>
        </w:rPr>
        <w:t>лисеенков</w:t>
      </w:r>
    </w:p>
    <w:sectPr>
      <w:headerReference w:type="default" r:id="rId11"/>
      <w:headerReference w:type="even" r:id="rId12"/>
      <w:headerReference w:type="first" r:id="rId13"/>
      <w:footnotePr>
        <w:pos w:val="pageBottom"/>
        <w:numFmt w:val="decimal"/>
        <w:numRestart w:val="continuous"/>
      </w:footnotePr>
      <w:pgSz w:w="11900" w:h="16840"/>
      <w:pgMar w:top="662" w:right="914" w:bottom="626" w:left="1346" w:header="0" w:footer="3" w:gutter="0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935355</wp:posOffset>
              </wp:positionH>
              <wp:positionV relativeFrom="page">
                <wp:posOffset>198120</wp:posOffset>
              </wp:positionV>
              <wp:extent cx="6050915" cy="1416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50915" cy="1416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2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5"/>
                              <w:b/>
                              <w:bCs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Style w:val="CharStyle15"/>
                              <w:b/>
                              <w:bCs/>
                              <w:sz w:val="16"/>
                              <w:szCs w:val="16"/>
                              <w:u w:val="single"/>
                            </w:rPr>
                            <w:t>g2/5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73.650000000000006pt;margin-top:15.6pt;width:476.44999999999999pt;height:11.15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2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5"/>
                        <w:b/>
                        <w:bCs/>
                        <w:sz w:val="16"/>
                        <w:szCs w:val="16"/>
                      </w:rPr>
                      <w:tab/>
                    </w:r>
                    <w:r>
                      <w:rPr>
                        <w:rStyle w:val="CharStyle15"/>
                        <w:b/>
                        <w:bCs/>
                        <w:sz w:val="16"/>
                        <w:szCs w:val="16"/>
                        <w:u w:val="single"/>
                      </w:rPr>
                      <w:t>g2/5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935355</wp:posOffset>
              </wp:positionH>
              <wp:positionV relativeFrom="page">
                <wp:posOffset>327025</wp:posOffset>
              </wp:positionV>
              <wp:extent cx="6076315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63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650000000000006pt;margin-top:25.75pt;width:478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6715760</wp:posOffset>
              </wp:positionH>
              <wp:positionV relativeFrom="page">
                <wp:posOffset>252095</wp:posOffset>
              </wp:positionV>
              <wp:extent cx="221615" cy="10541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161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5"/>
                              <w:b/>
                              <w:bCs/>
                              <w:sz w:val="16"/>
                              <w:szCs w:val="16"/>
                            </w:rPr>
                            <w:t>®5/5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28.79999999999995pt;margin-top:19.850000000000001pt;width:17.449999999999999pt;height:8.3000000000000007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5"/>
                        <w:b/>
                        <w:bCs/>
                        <w:sz w:val="16"/>
                        <w:szCs w:val="16"/>
                      </w:rPr>
                      <w:t>®5/5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882015</wp:posOffset>
              </wp:positionH>
              <wp:positionV relativeFrom="page">
                <wp:posOffset>387985</wp:posOffset>
              </wp:positionV>
              <wp:extent cx="6080760" cy="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807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450000000000003pt;margin-top:30.550000000000001pt;width:478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6715760</wp:posOffset>
              </wp:positionH>
              <wp:positionV relativeFrom="page">
                <wp:posOffset>252095</wp:posOffset>
              </wp:positionV>
              <wp:extent cx="221615" cy="10541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161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5"/>
                              <w:b/>
                              <w:bCs/>
                              <w:sz w:val="16"/>
                              <w:szCs w:val="16"/>
                            </w:rPr>
                            <w:t>®5/5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28.79999999999995pt;margin-top:19.850000000000001pt;width:17.449999999999999pt;height:8.3000000000000007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5"/>
                        <w:b/>
                        <w:bCs/>
                        <w:sz w:val="16"/>
                        <w:szCs w:val="16"/>
                      </w:rPr>
                      <w:t>®5/5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882015</wp:posOffset>
              </wp:positionH>
              <wp:positionV relativeFrom="page">
                <wp:posOffset>387985</wp:posOffset>
              </wp:positionV>
              <wp:extent cx="6080760" cy="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807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450000000000003pt;margin-top:30.550000000000001pt;width:478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4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7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Heading #1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7">
    <w:name w:val="Body text (3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9">
    <w:name w:val="Body text (4)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5">
    <w:name w:val="Body text (2)_"/>
    <w:basedOn w:val="DefaultParagraphFont"/>
    <w:link w:val="Style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spacing w:line="26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Heading #1"/>
    <w:basedOn w:val="Normal"/>
    <w:link w:val="CharStyle5"/>
    <w:pPr>
      <w:widowControl w:val="0"/>
      <w:shd w:val="clear" w:color="auto" w:fill="auto"/>
      <w:spacing w:after="1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6">
    <w:name w:val="Body text (3)"/>
    <w:basedOn w:val="Normal"/>
    <w:link w:val="CharStyle7"/>
    <w:pPr>
      <w:widowControl w:val="0"/>
      <w:shd w:val="clear" w:color="auto" w:fill="auto"/>
      <w:spacing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line="264" w:lineRule="auto"/>
      <w:ind w:firstLine="40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spacing w:after="760" w:line="254" w:lineRule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header" Target="header3.xml"/><Relationship Id="rId12" Type="http://schemas.openxmlformats.org/officeDocument/2006/relationships/header" Target="header4.xml"/><Relationship Id="rId13" Type="http://schemas.openxmlformats.org/officeDocument/2006/relationships/header" Target="header5.xml"/></Relationships>
</file>