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658110" cy="31121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8110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134"/>
                                <w:szCs w:val="134"/>
                              </w:rPr>
                            </w:pPr>
                            <w:r>
                              <w:rPr>
                                <w:rStyle w:val="CharStyle3"/>
                                <w:color w:val="486094"/>
                                <w:sz w:val="134"/>
                                <w:szCs w:val="134"/>
                                <w:lang w:val="en-US" w:eastAsia="en-US"/>
                              </w:rPr>
                              <w:t>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86094"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86094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86094"/>
                                <w:sz w:val="19"/>
                                <w:szCs w:val="19"/>
                              </w:rPr>
                              <w:t>Федеральной антимонопольной службы</w:t>
                              <w:br/>
                              <w:t>по Оренбургской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"/>
                                <w:color w:val="486094"/>
                                <w:sz w:val="14"/>
                                <w:szCs w:val="14"/>
                              </w:rPr>
                              <w:t>Адрес места нахождения: г. Оренбург, ул. Краснознаменная. 22</w:t>
                              <w:br/>
                              <w:t>Почтовый адрес: ул. 9 Января, 64, г. Оренбург, 460046</w:t>
                              <w:br/>
                              <w:t>тел. (3532) 78-66-17, факс (3532) 77-80-70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"/>
                                <w:color w:val="486094"/>
                                <w:sz w:val="14"/>
                                <w:szCs w:val="14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486094"/>
                                <w:sz w:val="14"/>
                                <w:szCs w:val="14"/>
                                <w:lang w:val="en-US" w:eastAsia="en-US"/>
                              </w:rPr>
                              <w:t>to56@fas.gov.ru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>5.</w:t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  <w:u w:val="single"/>
                              </w:rPr>
                              <w:t>05.2026</w:t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>№ НР/3157/26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71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3"/>
                                <w:color w:val="486094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9.30000000000001pt;height:245.0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134"/>
                          <w:szCs w:val="134"/>
                        </w:rPr>
                      </w:pPr>
                      <w:r>
                        <w:rPr>
                          <w:rStyle w:val="CharStyle3"/>
                          <w:color w:val="486094"/>
                          <w:sz w:val="134"/>
                          <w:szCs w:val="134"/>
                          <w:lang w:val="en-US" w:eastAsia="en-US"/>
                        </w:rPr>
                        <w:t>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86094"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86094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86094"/>
                          <w:sz w:val="19"/>
                          <w:szCs w:val="19"/>
                        </w:rPr>
                        <w:t>Федеральной антимонопольной службы</w:t>
                        <w:br/>
                        <w:t>по Оренбургской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"/>
                          <w:color w:val="486094"/>
                          <w:sz w:val="14"/>
                          <w:szCs w:val="14"/>
                        </w:rPr>
                        <w:t>Адрес места нахождения: г. Оренбург, ул. Краснознаменная. 22</w:t>
                        <w:br/>
                        <w:t>Почтовый адрес: ул. 9 Января, 64, г. Оренбург, 460046</w:t>
                        <w:br/>
                        <w:t>тел. (3532) 78-66-17, факс (3532) 77-80-70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"/>
                          <w:color w:val="486094"/>
                          <w:sz w:val="14"/>
                          <w:szCs w:val="14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486094"/>
                          <w:sz w:val="14"/>
                          <w:szCs w:val="14"/>
                          <w:lang w:val="en-US" w:eastAsia="en-US"/>
                        </w:rPr>
                        <w:t>to56@fas.gov.ru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9"/>
                          <w:sz w:val="30"/>
                          <w:szCs w:val="30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9"/>
                          <w:sz w:val="30"/>
                          <w:szCs w:val="30"/>
                        </w:rPr>
                        <w:t>5.</w:t>
                      </w:r>
                      <w:r>
                        <w:rPr>
                          <w:rStyle w:val="CharStyle9"/>
                          <w:sz w:val="30"/>
                          <w:szCs w:val="30"/>
                          <w:u w:val="single"/>
                        </w:rPr>
                        <w:t>05.2026</w:t>
                      </w:r>
                      <w:r>
                        <w:rPr>
                          <w:rStyle w:val="CharStyle9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9"/>
                          <w:sz w:val="30"/>
                          <w:szCs w:val="30"/>
                        </w:rPr>
                        <w:t>№ НР/3157/26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71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3"/>
                          <w:color w:val="486094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6289675</wp:posOffset>
                </wp:positionH>
                <wp:positionV relativeFrom="paragraph">
                  <wp:posOffset>7598410</wp:posOffset>
                </wp:positionV>
                <wp:extent cx="899160" cy="25273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г. Оренбург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5.25pt;margin-top:598.30000000000007pt;width:70.799999999999997pt;height:19.9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г. Оренбург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Заявитель: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ООО «За достойную жизнь»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9"/>
        </w:rPr>
        <w:t>г. Москва, вн.тер.г.МО Соколиная гора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пер.Барабанный д.3 помещ.6/4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fldChar w:fldCharType="begin"/>
      </w:r>
      <w:r>
        <w:rPr/>
        <w:instrText> HYPERLINK "mailto:zakaz@ooozdj.ru" </w:instrText>
      </w:r>
      <w:r>
        <w:fldChar w:fldCharType="separate"/>
      </w:r>
      <w:r>
        <w:rPr>
          <w:rStyle w:val="CharStyle9"/>
          <w:lang w:val="en-US" w:eastAsia="en-US"/>
        </w:rPr>
        <w:t>zakaz@ooozdj.ru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Заказчик: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9"/>
        </w:rPr>
        <w:t>МБУДО «Детская школа искусств г.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Медногорска»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9"/>
        </w:rPr>
        <w:t>ул. Советская д. 19, г. Медногорск,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Оренбургская область, 462274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fldChar w:fldCharType="begin"/>
      </w:r>
      <w:r>
        <w:rPr/>
        <w:instrText> HYPERLINK "mailto:ok-mednogorsk@rambler.ru" </w:instrText>
      </w:r>
      <w:r>
        <w:fldChar w:fldCharType="separate"/>
      </w:r>
      <w:r>
        <w:rPr>
          <w:rStyle w:val="CharStyle9"/>
          <w:lang w:val="en-US" w:eastAsia="en-US"/>
        </w:rPr>
        <w:t>ok-mednogorsk@rambler.ru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fldChar w:fldCharType="begin"/>
      </w:r>
      <w:r>
        <w:rPr/>
        <w:instrText> HYPERLINK "mailto:dsigm@mail.ru" </w:instrText>
      </w:r>
      <w:r>
        <w:fldChar w:fldCharType="separate"/>
      </w:r>
      <w:r>
        <w:rPr>
          <w:rStyle w:val="CharStyle9"/>
          <w:lang w:val="en-US" w:eastAsia="en-US"/>
        </w:rPr>
        <w:t>dsigm@mail.ru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Уполномоченный орган: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Администрация города Медногорска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9"/>
        </w:rPr>
        <w:t>ул. Советская, д. 37, г. Медногорск,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00" w:right="0" w:firstLine="0"/>
        <w:jc w:val="left"/>
      </w:pPr>
      <w:r>
        <w:rPr>
          <w:rStyle w:val="CharStyle9"/>
        </w:rPr>
        <w:t>462274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100" w:right="0" w:firstLine="0"/>
        <w:jc w:val="left"/>
      </w:pPr>
      <w:r>
        <w:fldChar w:fldCharType="begin"/>
      </w:r>
      <w:r>
        <w:rPr/>
        <w:instrText> HYPERLINK "mailto:v.miclucan@gorodmednogorsk.ru" </w:instrText>
      </w:r>
      <w:r>
        <w:fldChar w:fldCharType="separate"/>
      </w:r>
      <w:r>
        <w:rPr>
          <w:rStyle w:val="CharStyle9"/>
          <w:lang w:val="en-US" w:eastAsia="en-US"/>
        </w:rPr>
        <w:t>v.miclucan@gorodmednogorsk.ru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9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hanging="960"/>
        <w:jc w:val="left"/>
      </w:pPr>
      <w:r>
        <w:rPr>
          <w:rStyle w:val="CharStyle9"/>
        </w:rPr>
        <w:t>по делу № 056/06/105-496/2026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hanging="4200"/>
        <w:jc w:val="left"/>
      </w:pPr>
      <w:r>
        <w:rPr>
          <w:rStyle w:val="CharStyle9"/>
        </w:rPr>
        <w:t>29 апреля 2026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200"/>
        <w:jc w:val="left"/>
      </w:pPr>
      <w:r>
        <w:rPr>
          <w:rStyle w:val="CharStyle9"/>
        </w:rPr>
        <w:t>Резолютивная часть решения оглашена 29 апреля 2026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hanging="4200"/>
        <w:jc w:val="left"/>
      </w:pPr>
      <w:r>
        <w:rPr>
          <w:rStyle w:val="CharStyle9"/>
        </w:rPr>
        <w:t>Решение в полном объеме изготовлено 05 мая 2026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200" w:right="0" w:firstLine="720"/>
        <w:jc w:val="left"/>
      </w:pPr>
      <w:r>
        <w:rPr>
          <w:rStyle w:val="CharStyle9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8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834" w:bottom="1312" w:left="532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</w:rPr>
        <w:t>Председателя Комиссии: Решетовой Н.Ю.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22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79" w:bottom="1220" w:left="11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Членов Комиссии: Кузьменко А.А., Алехина И.А.,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присутствии посредством видео-конференц-связи представителя Муниципального учреждения администрация города Медногорска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В.Е. Миклуцана (по доверенности),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отсутствие представителей ООО «За достойную жизнь», МБУДО «Детская школа искусств города Медногорска», о дате, времени и месте рассмотрения жалобы извещены надлежащим образом,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рассмотрев жалобу ООО «За достойную жизнь» на действия МБУДО «Детская школа искусств города Медногорска» при проведении запроса котировок в электронной форме на поставку музыкальных инструментов (пианино) (извещение </w:t>
      </w:r>
      <w:r>
        <w:rPr>
          <w:rStyle w:val="CharStyle9"/>
          <w:lang w:val="en-US" w:eastAsia="en-US"/>
        </w:rPr>
        <w:t>№ 0153300012226000032),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27.04.2026 </w:t>
      </w:r>
      <w:r>
        <w:rPr>
          <w:rStyle w:val="CharStyle9"/>
        </w:rPr>
        <w:t xml:space="preserve">г. в Оренбургское УФАС России посредством единой информационной системе поступила жалоба ООО «За достойную жизнь»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Заявитель) на действия МБУДО «Детская школа искусств города Медногорска» при проведении запроса котировок в электронной форме на поставку музыкальных инструментов (пианино) (извещение </w:t>
      </w:r>
      <w:r>
        <w:rPr>
          <w:rStyle w:val="CharStyle9"/>
          <w:lang w:val="en-US" w:eastAsia="en-US"/>
        </w:rPr>
        <w:t>№ 0153300012226000032).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связи с поступившей жалобой, в порядке ч.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106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№ </w:t>
      </w:r>
      <w:r>
        <w:rPr>
          <w:rStyle w:val="CharStyle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Закон о контрактной системе), Заказчику, Уполномоченному органу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администрации города Медногорска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Согласно доводам жалобы, Заказчиком установлены характеристики закупаемых товаров, совокупность которых соответствует товару единственного производителя, что препятствует подаче заявки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Согласно представленным письменным пояснениям, Заказчик просил жалобу признать необоснованной, пояснив, что характеристикам, установленным в техническом задании, соответствуют музыкальные инструменты производства ООО «Нева-Саунд» и ООО «Руспианино». При описании объекта закупки Заказчик исходил из требований, установленных Законом о контрактной системе. Иные доводы жалобы носят, по мнению Заказчика, носят абстрактный характер и не содержат указания на конкретные действия Заказчика, которые противоречат законодательству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Представитель Уполномоченного органа жалобу просил признать необоснованной, поддержав пояснения Заказчика в полном объеме, указав, что закупка осуществляется в рамках национального проекта «Семья».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рассмотрении жалобы объявлялся перерыв до </w:t>
      </w:r>
      <w:r>
        <w:rPr>
          <w:rStyle w:val="CharStyle9"/>
          <w:lang w:val="en-US" w:eastAsia="en-US"/>
        </w:rPr>
        <w:t xml:space="preserve">29.04.2026 </w:t>
      </w:r>
      <w:r>
        <w:rPr>
          <w:rStyle w:val="CharStyle9"/>
        </w:rPr>
        <w:t>г., сторонам предлагалось представить дополнительные доказательства в обоснование своих доводов. После перерыва запрошенные сведения Заказчиком и Уполномоченным органом представлены. Заявителем запрошенная информация не представлена.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В результате рассмотрения жалобы и осуществления в соответствии с ч.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ст.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системе, внеплановой проверки, Комиссия Оренбургского УФАС России, проанализировав представленные документы в их совокупности и взаимосвязи, пришла к следующим выводам: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16.04.2026 </w:t>
      </w:r>
      <w:r>
        <w:rPr>
          <w:rStyle w:val="CharStyle9"/>
        </w:rPr>
        <w:t xml:space="preserve">года 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9"/>
          <w:lang w:val="en-US" w:eastAsia="en-US"/>
        </w:rPr>
        <w:t>www.zakupki.gov.ru</w:t>
      </w:r>
      <w:r>
        <w:fldChar w:fldCharType="end"/>
      </w:r>
      <w:r>
        <w:rPr>
          <w:rStyle w:val="CharStyle9"/>
          <w:lang w:val="en-US" w:eastAsia="en-US"/>
        </w:rPr>
        <w:t xml:space="preserve"> </w:t>
      </w:r>
      <w:r>
        <w:rPr>
          <w:rStyle w:val="CharStyle9"/>
        </w:rPr>
        <w:t xml:space="preserve">и на электронной площадке было размещено извещение о проведении запроса котировок в электронной форме на поставку музыкальных инструментов (пианино) (извещение </w:t>
      </w:r>
      <w:r>
        <w:rPr>
          <w:rStyle w:val="CharStyle9"/>
          <w:lang w:val="en-US" w:eastAsia="en-US"/>
        </w:rPr>
        <w:t>№ 0153300012226000032).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Начальная (максимальная) цена контракта составляет </w:t>
      </w:r>
      <w:r>
        <w:rPr>
          <w:rStyle w:val="CharStyle9"/>
          <w:lang w:val="en-US" w:eastAsia="en-US"/>
        </w:rPr>
        <w:t xml:space="preserve">895 000,00 </w:t>
      </w:r>
      <w:r>
        <w:rPr>
          <w:rStyle w:val="CharStyle9"/>
        </w:rPr>
        <w:t>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ст.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настоящей статьи, обеспечиваются, в частности, путем ее размещения в единой информационной системе.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со статьей </w:t>
      </w:r>
      <w:r>
        <w:rPr>
          <w:rStyle w:val="CharStyle9"/>
          <w:lang w:val="en-US" w:eastAsia="en-US"/>
        </w:rPr>
        <w:t xml:space="preserve">10 </w:t>
      </w:r>
      <w:r>
        <w:rPr>
          <w:rStyle w:val="CharStyle9"/>
        </w:rPr>
        <w:t>Закона о контрактной системе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12 </w:t>
      </w:r>
      <w:r>
        <w:rPr>
          <w:rStyle w:val="CharStyle9"/>
        </w:rPr>
        <w:t>Закона о контрактной системе государственные органы, органы управления государственными внебюджетными фондами муниципальные органы, казенные учреждения, иные юридические лица в случаях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«п» пункта </w:t>
      </w:r>
      <w:r>
        <w:rPr>
          <w:rStyle w:val="CharStyle9"/>
          <w:lang w:val="en-US" w:eastAsia="en-US"/>
        </w:rPr>
        <w:t xml:space="preserve">1, </w:t>
      </w:r>
      <w:r>
        <w:rPr>
          <w:rStyle w:val="CharStyle9"/>
        </w:rPr>
        <w:t xml:space="preserve">подпунктами «а»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«в» пункта </w:t>
      </w:r>
      <w:r>
        <w:rPr>
          <w:rStyle w:val="CharStyle9"/>
          <w:lang w:val="en-US" w:eastAsia="en-US"/>
        </w:rPr>
        <w:t xml:space="preserve">2, </w:t>
      </w: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или пунктом </w:t>
      </w:r>
      <w:r>
        <w:rPr>
          <w:rStyle w:val="CharStyle9"/>
          <w:lang w:val="en-US" w:eastAsia="en-US"/>
        </w:rPr>
        <w:t xml:space="preserve">4, </w:t>
      </w: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 xml:space="preserve">настоящего Федерального закона. Заявка также может содержать информацию и документы, предусмотренные подпунктом «д» пункта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 xml:space="preserve">настоящего Федерального закона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50 </w:t>
      </w:r>
      <w:r>
        <w:rPr>
          <w:rStyle w:val="CharStyle9"/>
        </w:rPr>
        <w:t>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п.15 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 ограничение, преимущество установлены 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 являющихся объектом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извещению </w:t>
      </w:r>
      <w:r>
        <w:rPr>
          <w:rStyle w:val="CharStyle9"/>
          <w:lang w:val="en-US" w:eastAsia="en-US"/>
        </w:rPr>
        <w:t xml:space="preserve">№ 0153300012226000032 </w:t>
      </w:r>
      <w:r>
        <w:rPr>
          <w:rStyle w:val="CharStyle9"/>
        </w:rPr>
        <w:t xml:space="preserve">установлено ограничение закупок товаров, происходящих из иностранных государств, выполняемых работ оказываемых услуг иностранными лицами, следовательно Заказчик при описании объекта закупки руководствуется положениями ч. </w:t>
      </w:r>
      <w:r>
        <w:rPr>
          <w:rStyle w:val="CharStyle9"/>
          <w:lang w:val="en-US" w:eastAsia="en-US"/>
        </w:rPr>
        <w:t xml:space="preserve">1.1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п.1 ч.2 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 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силу ч. </w:t>
      </w:r>
      <w:r>
        <w:rPr>
          <w:rStyle w:val="CharStyle9"/>
          <w:lang w:val="en-US" w:eastAsia="en-US"/>
        </w:rPr>
        <w:t xml:space="preserve">1.1 </w:t>
      </w:r>
      <w:r>
        <w:rPr>
          <w:rStyle w:val="CharStyle9"/>
        </w:rPr>
        <w:t xml:space="preserve">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Из совокупного толкования п.1,2 ч.1, ч.2 ст.33 Закона о контрактной системе следует, что описание объекта закупки должно носить объективный характер, то есть быть продиктовано истинными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п.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 xml:space="preserve">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Во исполнение ч.6 ст.23 Закона Правительством Российской Федерации принято Постановление от </w:t>
      </w:r>
      <w:r>
        <w:rPr>
          <w:rStyle w:val="CharStyle9"/>
          <w:lang w:val="en-US" w:eastAsia="en-US"/>
        </w:rPr>
        <w:t xml:space="preserve">08.02.2017 №145 </w:t>
      </w:r>
      <w:r>
        <w:rPr>
          <w:rStyle w:val="CharStyle9"/>
        </w:rPr>
        <w:t xml:space="preserve">«Об утверждении Правил формирования и ведения в единой информационной системе в сфере закупок каталога товаров, работ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Правила).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Пункт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Правил закрепляет, что заказчики обязаны применять информацию включенную в позицию каталога в соответствии с подпунктами «б»-«и» п.10 Правил, утвержденных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08.02.2017 №145, </w:t>
      </w:r>
      <w:r>
        <w:rPr>
          <w:rStyle w:val="CharStyle9"/>
        </w:rPr>
        <w:t>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наименование товара, работы, услуги;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единицы измерения количества товара, объема выполняемой работы оказываемой услуги (при наличии);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описание товара, работы, услуги (при наличии такого описания в позиции).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Извещении установлен код каталога товаров, работ, услуг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КТРУ) закупаемого товара:32.20.11.120-00000001 Пианино акустическое.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описании объекта закупки Заказчиком установлены характеристики закупаемого товара, предусмотренные выбранным кодом КТРУ, в т.ч. дополнительные.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силу ч.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19 </w:t>
      </w:r>
      <w:r>
        <w:rPr>
          <w:rStyle w:val="CharStyle9"/>
        </w:rPr>
        <w:t>Закона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государственные и муниципальные нужды, но не приводящие к закупкам товаров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 этом антимонопольный орган не наделен полномочиями проверять потребность Заказчика для решения возложенных на него задач. Аналогичная правовая позиция изложена в Постановлении Арбитражного суда Северо</w:t>
        <w:softHyphen/>
        <w:t xml:space="preserve">Кавказского округа от </w:t>
      </w:r>
      <w:r>
        <w:rPr>
          <w:rStyle w:val="CharStyle9"/>
          <w:lang w:val="en-US" w:eastAsia="en-US"/>
        </w:rPr>
        <w:t xml:space="preserve">10.02.2021 № </w:t>
      </w:r>
      <w:r>
        <w:rPr>
          <w:rStyle w:val="CharStyle9"/>
        </w:rPr>
        <w:t xml:space="preserve">Ф08-12521/2020 по делу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А53-13738/2020.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Исходя из положений законодательства о контрактной системе в сфере закупок,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 как минимум два производителя (Письмо от 19.04.2023г.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ПИ/30510/23).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Уполномоченным органом в материалы дела представлены письменные пояснения с приложением подтверждающих документов, согласно которым сформированному описанию объекта закупки, соответствуют товары различных производителей, а именно: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пианино акустическое «Композитор», производитель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ООО «Нева-Саунд» (реестровый номер </w:t>
      </w:r>
      <w:r>
        <w:rPr>
          <w:rStyle w:val="CharStyle9"/>
          <w:lang w:val="en-US" w:eastAsia="en-US"/>
        </w:rPr>
        <w:t>№ 10314066);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пианино акустическое Феникс Ф-121, производитель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ООО «Руспианино» (реестровый номер </w:t>
      </w:r>
      <w:r>
        <w:rPr>
          <w:rStyle w:val="CharStyle9"/>
          <w:lang w:val="en-US" w:eastAsia="en-US"/>
        </w:rPr>
        <w:t>№ 10447828).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Заявитель на рассмотрение жалобы не явился, доказательства в подтверждение довода жалобы о соответствии характеристикам, указанным в извещении, товара одного производителя, в материалы дела не представил.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ходе рассмотрения жалобы, доводы Заявителя о неправомерности установления Заказчиком оспариваемых характеристик и лишения Заявителя возможности подать заявку на участие в закупке, не нашли своего подтверждения.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изложенного, руководствуясь ч. </w:t>
      </w:r>
      <w:r>
        <w:rPr>
          <w:rStyle w:val="CharStyle9"/>
          <w:lang w:val="en-US" w:eastAsia="en-US"/>
        </w:rPr>
        <w:t xml:space="preserve">3,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22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системе, Комиссия,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РЕШИЛА: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Жалобу ООО «За достойную жизнь» на действия МБУДО «Детская школа искусств города Медногорска» при проведении запроса котировок в электронной форме на поставку музыкальных инструментов (пианино) (извещение </w:t>
      </w:r>
      <w:r>
        <w:rPr>
          <w:rStyle w:val="CharStyle9"/>
          <w:lang w:val="en-US" w:eastAsia="en-US"/>
        </w:rPr>
        <w:t xml:space="preserve">№ 0153300012226000032) </w:t>
      </w:r>
      <w:r>
        <w:rPr>
          <w:rStyle w:val="CharStyle9"/>
        </w:rPr>
        <w:t>признать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Решение может быть обжаловано в судебном порядке в течение 3-х месяцев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1179" w:left="1101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5300" distB="34417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495300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39.pt;width:143.75pt;height:19.699999999999999pt;z-index:-125829371;mso-wrap-distance-left:0;mso-wrap-distance-top:39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9435" distB="0" distL="0" distR="1786255" simplePos="0" relativeHeight="125829384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559435</wp:posOffset>
            </wp:positionV>
            <wp:extent cx="359410" cy="53022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974090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65000000000001pt;margin-top:76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3079750</wp:posOffset>
                </wp:positionH>
                <wp:positionV relativeFrom="paragraph">
                  <wp:posOffset>657225</wp:posOffset>
                </wp:positionV>
                <wp:extent cx="1722120" cy="2654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5pt;margin-top:51.75pt;width:135.59999999999999pt;height:20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8030" distB="119380" distL="0" distR="0" simplePos="0" relativeHeight="125829385" behindDoc="0" locked="0" layoutInCell="1" allowOverlap="1">
                <wp:simplePos x="0" y="0"/>
                <wp:positionH relativeFrom="page">
                  <wp:posOffset>5996940</wp:posOffset>
                </wp:positionH>
                <wp:positionV relativeFrom="paragraph">
                  <wp:posOffset>748030</wp:posOffset>
                </wp:positionV>
                <wp:extent cx="1191895" cy="2222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Н.Ю. Решетова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2.19999999999999pt;margin-top:58.899999999999999pt;width:93.850000000000009pt;height:17.5pt;z-index:-125829368;mso-wrap-distance-left:0;mso-wrap-distance-top:58.899999999999999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Н.Ю. Решетова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Решетова Надежда Юрьевна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00E30985A7CD725E67D21</w:t>
      </w:r>
      <w:r>
        <w:rPr>
          <w:rStyle w:val="CharStyle20"/>
        </w:rPr>
        <w:t>36861</w:t>
      </w:r>
      <w:r>
        <w:rPr>
          <w:rStyle w:val="CharStyle20"/>
          <w:lang w:val="en-US" w:eastAsia="en-US"/>
        </w:rPr>
        <w:t>047886D3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110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>01</w:t>
      </w:r>
      <w:r>
        <w:rPr>
          <w:rStyle w:val="CharStyle20"/>
        </w:rPr>
        <w:t>.11</w:t>
      </w:r>
      <w:r>
        <w:rPr>
          <w:rStyle w:val="CharStyle20"/>
          <w:color w:val="5E5E5E"/>
        </w:rPr>
        <w:t xml:space="preserve">.2025 по </w:t>
      </w:r>
      <w:r>
        <w:rPr>
          <w:rStyle w:val="CharStyle20"/>
          <w:color w:val="292929"/>
        </w:rPr>
        <w:t>25.01</w:t>
      </w:r>
      <w:r>
        <w:rPr>
          <w:rStyle w:val="CharStyle20"/>
        </w:rPr>
        <w:t>.2027</w:t>
      </w:r>
    </w:p>
    <w:p>
      <w:pPr>
        <w:pStyle w:val="Style8"/>
        <w:keepNext w:val="0"/>
        <w:keepLines w:val="0"/>
        <w:framePr w:w="2117" w:h="394" w:wrap="none" w:hAnchor="page" w:x="11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Члены комиссии:</w:t>
      </w:r>
    </w:p>
    <w:p>
      <w:pPr>
        <w:pStyle w:val="Style16"/>
        <w:keepNext w:val="0"/>
        <w:keepLines w:val="0"/>
        <w:framePr w:w="2021" w:h="158" w:wrap="none" w:hAnchor="page" w:x="4914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7"/>
          <w:rFonts w:ascii="Times New Roman" w:eastAsia="Times New Roman" w:hAnsi="Times New Roman" w:cs="Times New Roman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16"/>
        <w:keepNext w:val="0"/>
        <w:keepLines w:val="0"/>
        <w:framePr w:w="2712" w:h="418" w:wrap="none" w:hAnchor="page" w:x="4851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8"/>
        <w:keepNext w:val="0"/>
        <w:keepLines w:val="0"/>
        <w:framePr w:w="1920" w:h="394" w:wrap="none" w:hAnchor="page" w:x="939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А.А. Кузьменко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5" behindDoc="1" locked="0" layoutInCell="1" allowOverlap="1">
            <wp:simplePos x="0" y="0"/>
            <wp:positionH relativeFrom="page">
              <wp:posOffset>2628900</wp:posOffset>
            </wp:positionH>
            <wp:positionV relativeFrom="margin">
              <wp:posOffset>36830</wp:posOffset>
            </wp:positionV>
            <wp:extent cx="389890" cy="55499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916" w:right="584" w:bottom="971" w:left="1106" w:header="1488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Кузьменко Алия Алмазовна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00CDB4565968FC420183F0DF7B2B5624BC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4223" w:bottom="5038" w:left="4207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Действителен с 02.10.2025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26.12.2026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712" w:h="418" w:wrap="none" w:vAnchor="text" w:hAnchor="page" w:x="4851" w:y="25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8"/>
        <w:keepNext w:val="0"/>
        <w:keepLines w:val="0"/>
        <w:framePr w:w="1560" w:h="398" w:wrap="none" w:vAnchor="text" w:hAnchor="page" w:x="975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И.А. Алехин</w:t>
      </w:r>
    </w:p>
    <w:p>
      <w:pPr>
        <w:widowControl w:val="0"/>
        <w:spacing w:after="700" w:line="1" w:lineRule="exact"/>
      </w:pPr>
      <w:r>
        <w:drawing>
          <wp:anchor distT="0" distB="0" distL="0" distR="1816735" simplePos="0" relativeHeight="62914696" behindDoc="1" locked="0" layoutInCell="1" allowOverlap="1">
            <wp:simplePos x="0" y="0"/>
            <wp:positionH relativeFrom="page">
              <wp:posOffset>2689860</wp:posOffset>
            </wp:positionH>
            <wp:positionV relativeFrom="paragraph">
              <wp:posOffset>100330</wp:posOffset>
            </wp:positionV>
            <wp:extent cx="298450" cy="34734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584" w:bottom="971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Алехин Игорь Александрович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00BC51FC5E21D2363F2826BBCB0B16C92</w:t>
      </w:r>
      <w:r>
        <w:rPr>
          <w:rStyle w:val="CharStyle20"/>
          <w:lang w:val="en-US" w:eastAsia="en-US"/>
        </w:rPr>
        <w:t>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4213" w:bottom="5038" w:left="4207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Действителен с 08.04.2025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02.07.2026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800" w:h="317" w:wrap="none" w:vAnchor="text" w:hAnchor="page" w:x="11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тел.(3532)78-66-20</w:t>
      </w:r>
    </w:p>
    <w:p>
      <w:pPr>
        <w:widowControl w:val="0"/>
        <w:spacing w:after="31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16" w:right="584" w:bottom="97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2026-4108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51.3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2026-4108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10013315</wp:posOffset>
              </wp:positionV>
              <wp:extent cx="652145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2026-4108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5pt;margin-top:788.45000000000005pt;width:51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2026-4108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  <w:spacing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