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59753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</w:rPr>
        <w:t>УПРАВЛЕНИЕ</w:t>
        <w:br/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</w:pPr>
      <w:r>
        <w:rPr>
          <w:rStyle w:val="CharStyle6"/>
          <w:b/>
          <w:bCs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0" w:right="0" w:firstLine="0"/>
        <w:jc w:val="center"/>
      </w:pPr>
      <w:r>
        <w:rPr>
          <w:rStyle w:val="CharStyle6"/>
          <w:b/>
          <w:bCs/>
        </w:rPr>
        <w:t>г. Нижний Новгород, 603000</w:t>
        <w:br/>
        <w:t>тел. (831) 431-73-73, (831) 431-73-83</w:t>
        <w:br/>
      </w:r>
      <w:r>
        <w:rPr>
          <w:rStyle w:val="CharStyle6"/>
          <w:b/>
          <w:bCs/>
          <w:u w:val="single"/>
          <w:lang w:val="en-US" w:eastAsia="en-US"/>
        </w:rPr>
        <w:t xml:space="preserve">e-mail: to52@,fas, </w:t>
      </w:r>
      <w:r>
        <w:rPr>
          <w:rStyle w:val="CharStyle6"/>
          <w:b/>
          <w:bCs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  <w:u w:val="none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  <w:u w:val="none"/>
        </w:rPr>
        <w:t>6.0</w:t>
      </w:r>
      <w:r>
        <w:rPr>
          <w:rStyle w:val="CharStyle10"/>
        </w:rPr>
        <w:t>5.2026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ИК/9176/2</w:t>
      </w:r>
      <w:r>
        <w:rPr>
          <w:rStyle w:val="CharStyle10"/>
          <w:u w:val="none"/>
        </w:rPr>
        <w:t>6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  <w:b/>
          <w:bCs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23749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2374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color w:val="000000"/>
        </w:rPr>
        <w:t>ООО "Квазар"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color w:val="000000"/>
        </w:rPr>
        <w:t>420049, Республика Татарстан,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  <w:color w:val="000000"/>
        </w:rPr>
        <w:t xml:space="preserve">Казань, ул. Подгорная, д. 34 </w:t>
      </w:r>
      <w:r>
        <w:fldChar w:fldCharType="begin"/>
      </w:r>
      <w:r>
        <w:rPr/>
        <w:instrText> HYPERLINK "mailto:info@kvazar.ooo" </w:instrText>
      </w:r>
      <w:r>
        <w:fldChar w:fldCharType="separate"/>
      </w:r>
      <w:r>
        <w:rPr>
          <w:rStyle w:val="CharStyle15"/>
          <w:color w:val="000000"/>
          <w:lang w:val="en-US" w:eastAsia="en-US"/>
        </w:rPr>
        <w:t>info@kvazar.ooo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  <w:color w:val="000000"/>
        </w:rPr>
        <w:t xml:space="preserve">АО «Сбербанк-АСТ» </w:t>
      </w: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rStyle w:val="CharStyle15"/>
          <w:color w:val="000000"/>
          <w:lang w:val="en-US" w:eastAsia="en-US"/>
        </w:rPr>
        <w:t>info@sberbank-ast.ru</w:t>
      </w:r>
      <w:r>
        <w:fldChar w:fldCharType="end"/>
      </w:r>
      <w:r>
        <w:rPr>
          <w:rStyle w:val="CharStyle15"/>
          <w:color w:val="000000"/>
          <w:lang w:val="en-US" w:eastAsia="en-US"/>
        </w:rPr>
        <w:t xml:space="preserve">, </w:t>
      </w:r>
      <w:r>
        <w:fldChar w:fldCharType="begin"/>
      </w:r>
      <w:r>
        <w:rPr/>
        <w:instrText> HYPERLINK "mailto:company@sberbank-ast.ru" </w:instrText>
      </w:r>
      <w:r>
        <w:fldChar w:fldCharType="separate"/>
      </w:r>
      <w:r>
        <w:rPr>
          <w:rStyle w:val="CharStyle15"/>
          <w:color w:val="000000"/>
          <w:lang w:val="en-US" w:eastAsia="en-US"/>
        </w:rPr>
        <w:t>company@sberbank-ast.ru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color w:val="000000"/>
        </w:rPr>
        <w:t>Арбитражный суд Ульяновской области 432970, г. Ульяновск, ул.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8" w:right="695" w:bottom="1365" w:left="1135" w:header="0" w:footer="3" w:gutter="0"/>
          <w:pgNumType w:start="1"/>
          <w:cols w:num="2" w:space="720" w:equalWidth="0">
            <w:col w:w="4219" w:space="1051"/>
            <w:col w:w="4800"/>
          </w:cols>
          <w:noEndnote/>
          <w:titlePg/>
          <w:rtlGutter w:val="0"/>
          <w:docGrid w:linePitch="360"/>
        </w:sectPr>
      </w:pPr>
      <w:r>
        <w:rPr>
          <w:rStyle w:val="CharStyle15"/>
          <w:color w:val="000000"/>
        </w:rPr>
        <w:t xml:space="preserve">Железнодорожная, д. 14 </w:t>
      </w:r>
      <w:r>
        <w:fldChar w:fldCharType="begin"/>
      </w:r>
      <w:r>
        <w:rPr/>
        <w:instrText> HYPERLINK "mailto:info@ulyanovsk.arbitr.ru" </w:instrText>
      </w:r>
      <w:r>
        <w:fldChar w:fldCharType="separate"/>
      </w:r>
      <w:r>
        <w:rPr>
          <w:rStyle w:val="CharStyle15"/>
          <w:color w:val="000000"/>
          <w:lang w:val="en-US" w:eastAsia="en-US"/>
        </w:rPr>
        <w:t>info@ulyanovsk.arbitr.ru</w:t>
      </w:r>
      <w:r>
        <w:fldChar w:fldCharType="end"/>
      </w:r>
      <w:r>
        <w:rPr>
          <w:rStyle w:val="CharStyle15"/>
          <w:color w:val="000000"/>
          <w:lang w:val="en-US" w:eastAsia="en-US"/>
        </w:rPr>
        <w:t xml:space="preserve"> </w:t>
      </w:r>
      <w:r>
        <w:rPr>
          <w:rStyle w:val="CharStyle15"/>
          <w:color w:val="000000"/>
        </w:rPr>
        <w:t xml:space="preserve">, </w:t>
      </w:r>
      <w:r>
        <w:fldChar w:fldCharType="begin"/>
      </w:r>
      <w:r>
        <w:rPr/>
        <w:instrText> HYPERLINK "mailto:a72.mto@arbitr.ru" </w:instrText>
      </w:r>
      <w:r>
        <w:fldChar w:fldCharType="separate"/>
      </w:r>
      <w:r>
        <w:rPr>
          <w:rStyle w:val="CharStyle15"/>
          <w:color w:val="000000"/>
          <w:lang w:val="en-US" w:eastAsia="en-US"/>
        </w:rPr>
        <w:t>a72.mto@arbitr.ru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9" w:right="0" w:bottom="77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 №052/06/105-1062/2026</w:t>
        <w:br/>
        <w:t>по результатам рассмотрения жалобы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7248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5"/>
        </w:rPr>
        <w:t>30 апреля 2026 года</w:t>
        <w:tab/>
        <w:t>город Нижний Новгород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Канаевой И.С. -председателя комиссии, заместителя руководителя управления,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Королевой И.А. -члена комиссии, начальника отдела контроля торгов,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Колденкова Д.А. -члена комиссии, специалиста-эксперта отдела контроля торгов, при участии посредством видео-конференц-связи: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1" w:val="left"/>
          <w:tab w:pos="4555" w:val="left"/>
          <w:tab w:pos="5314" w:val="left"/>
          <w:tab w:pos="6696" w:val="left"/>
          <w:tab w:pos="7248" w:val="left"/>
          <w:tab w:pos="9182" w:val="left"/>
          <w:tab w:pos="987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Валиевой Г.Н. -представителя</w:t>
        <w:tab/>
        <w:t>ООО</w:t>
        <w:tab/>
        <w:t>«Квазар»</w:t>
        <w:tab/>
        <w:t>по</w:t>
        <w:tab/>
        <w:t>доверенности</w:t>
        <w:tab/>
        <w:t>№3</w:t>
        <w:tab/>
        <w:t>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00" w:right="0" w:firstLine="0"/>
        <w:jc w:val="both"/>
      </w:pPr>
      <w:r>
        <w:rPr>
          <w:rStyle w:val="CharStyle15"/>
        </w:rPr>
        <w:t>11.03.2026,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4555" w:val="left"/>
          <w:tab w:pos="5314" w:val="left"/>
          <w:tab w:pos="6696" w:val="left"/>
          <w:tab w:pos="7248" w:val="left"/>
          <w:tab w:pos="9182" w:val="left"/>
          <w:tab w:pos="98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-Габдулхаевой А.А. -представителя</w:t>
        <w:tab/>
        <w:t>ООО</w:t>
        <w:tab/>
        <w:t>«Квазар»</w:t>
        <w:tab/>
        <w:t>по</w:t>
        <w:tab/>
        <w:t>доверенности</w:t>
        <w:tab/>
        <w:t>№5</w:t>
        <w:tab/>
        <w:t>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00" w:right="0" w:firstLine="0"/>
        <w:jc w:val="both"/>
      </w:pPr>
      <w:r>
        <w:rPr>
          <w:rStyle w:val="CharStyle15"/>
        </w:rPr>
        <w:t>11.03.2026,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00" w:right="0" w:hanging="2500"/>
        <w:jc w:val="both"/>
      </w:pPr>
      <w:r>
        <w:rPr>
          <w:rStyle w:val="CharStyle15"/>
        </w:rPr>
        <w:t>-Савельева А.А. -представителя Арбитражного суда Ульяновской области по доверенности №7 от 28.04.2026,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00" w:right="0" w:hanging="2500"/>
        <w:jc w:val="both"/>
      </w:pPr>
      <w:r>
        <w:rPr>
          <w:rStyle w:val="CharStyle15"/>
        </w:rPr>
        <w:t>-Федоровой Ю.В. -представителя Арбитражного суда Ульяновской области по доверенности №7 от 28.04.2026,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15"/>
        </w:rPr>
        <w:t xml:space="preserve">рассмотрев жалобу ООО «Квазар» (далее - Заявитель) на действия Арбитражного суда Ульяновской области (далее - Заказчик) при проведении запроса котировок на поставку оригинальных тонер-картриджей, барабанов для принтеров </w:t>
      </w:r>
      <w:r>
        <w:rPr>
          <w:rStyle w:val="CharStyle15"/>
          <w:lang w:val="en-US" w:eastAsia="en-US"/>
        </w:rPr>
        <w:t xml:space="preserve">Fplus PB401dn </w:t>
      </w:r>
      <w:r>
        <w:rPr>
          <w:rStyle w:val="CharStyle15"/>
        </w:rPr>
        <w:t>(в сфере ИКТ), извещение №0368100009226000046,</w:t>
      </w:r>
    </w:p>
    <w:p>
      <w:pPr>
        <w:widowControl w:val="0"/>
        <w:spacing w:line="1" w:lineRule="exact"/>
      </w:pPr>
      <w:r>
        <w:drawing>
          <wp:anchor distT="241300" distB="0" distL="0" distR="0" simplePos="0" relativeHeight="125829378" behindDoc="0" locked="0" layoutInCell="1" allowOverlap="1">
            <wp:simplePos x="0" y="0"/>
            <wp:positionH relativeFrom="page">
              <wp:posOffset>699135</wp:posOffset>
            </wp:positionH>
            <wp:positionV relativeFrom="paragraph">
              <wp:posOffset>241300</wp:posOffset>
            </wp:positionV>
            <wp:extent cx="1334770" cy="45085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334770" cy="450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 Управление Федеральной антимонопольной службы по Нижегородской области (далее также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Нижегородское УФАС России, Управление) поступила жалоба Заявителя на действия Заказчика при проведении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Нижегородское УФАС России приняло к рассмотрению жалобу Заявителя и назначило её рассмотрение на </w:t>
      </w:r>
      <w:r>
        <w:rPr>
          <w:rStyle w:val="CharStyle15"/>
          <w:lang w:val="en-US" w:eastAsia="en-US"/>
        </w:rPr>
        <w:t xml:space="preserve">29.04.2026 </w:t>
      </w:r>
      <w:r>
        <w:rPr>
          <w:rStyle w:val="CharStyle15"/>
        </w:rPr>
        <w:t xml:space="preserve">(уведомление о рассмотрении жалобы от </w:t>
      </w:r>
      <w:r>
        <w:rPr>
          <w:rStyle w:val="CharStyle15"/>
          <w:lang w:val="en-US" w:eastAsia="en-US"/>
        </w:rPr>
        <w:t xml:space="preserve">27.04.2026 </w:t>
      </w:r>
      <w:r>
        <w:rPr>
          <w:rStyle w:val="CharStyle15"/>
        </w:rPr>
        <w:t>№ИК/8466/26).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 целях полного, объективного, всестороннего рассмотрения жалобы, а также ввиду необходимости получения дополнительных документов и сведений, на основании в заседании Комиссии объявлен перерыв до </w:t>
      </w:r>
      <w:r>
        <w:rPr>
          <w:rStyle w:val="CharStyle15"/>
          <w:lang w:val="en-US" w:eastAsia="en-US"/>
        </w:rPr>
        <w:t>30.04.2026.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По существу жалоба рассмотрена </w:t>
      </w:r>
      <w:r>
        <w:rPr>
          <w:rStyle w:val="CharStyle15"/>
          <w:lang w:val="en-US" w:eastAsia="en-US"/>
        </w:rPr>
        <w:t xml:space="preserve">30.04.2026 </w:t>
      </w:r>
      <w:r>
        <w:rPr>
          <w:rStyle w:val="CharStyle15"/>
        </w:rPr>
        <w:t>посредством видео-конференц</w:t>
        <w:softHyphen/>
        <w:t>связи с участием представителей Сторон.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Согласно доводам жалобы «ООО «Квазар»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Заявитель), желая принять участие в процедуре закупки (Извещение </w:t>
      </w:r>
      <w:r>
        <w:rPr>
          <w:rStyle w:val="CharStyle15"/>
          <w:lang w:val="en-US" w:eastAsia="en-US"/>
        </w:rPr>
        <w:t xml:space="preserve">№ 0368100009226000046), </w:t>
      </w:r>
      <w:r>
        <w:rPr>
          <w:rStyle w:val="CharStyle15"/>
        </w:rPr>
        <w:t xml:space="preserve">проводимой Заказчиком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АРБИТРАЖНЫМ СУДОМ УЛЬЯНОВСКОЙ ОБЛАСТИ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Заказчик), в рамках Федерального закона от </w:t>
      </w:r>
      <w:r>
        <w:rPr>
          <w:rStyle w:val="CharStyle15"/>
          <w:lang w:val="en-US" w:eastAsia="en-US"/>
        </w:rPr>
        <w:t xml:space="preserve">05.04.2013 N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по тексту Закон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44-ФЗ), выявило нарушения, не позволяющие принять участие, а, соответственно, ограничивающие конкуренцию, а именно: требование товаров определенного товарного знака.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пп.«в» п.1 ч.1 ст.33 Закона о контрактной системе, допускается использование в описании объекта закупки указания на товарный знак в случае осуществления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оборудование, </w:t>
      </w:r>
      <w:r>
        <w:rPr>
          <w:rStyle w:val="CharStyle15"/>
          <w:u w:val="single"/>
        </w:rPr>
        <w:t>однако</w:t>
      </w:r>
      <w:r>
        <w:rPr>
          <w:rStyle w:val="CharStyle15"/>
        </w:rPr>
        <w:t xml:space="preserve"> ни техническая документация, ни гарантийные талоны, ни какие-либо иные документы и сведения, подтверждающие наличие необходимости закупки исключительно оригинальных товаров, в документации закупки не представлена.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условие «только оригинал» не подкреплено ни одним документом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>а значит, не соответствует исключению из ст.33.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Также следует отметить, что ч.1.1 ст.33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Заказчик обязан, в первую очередь, указывать характеристики товаров российского происхождения если они есть в реестре РРПП </w:t>
      </w:r>
      <w:r>
        <w:rPr>
          <w:rStyle w:val="CharStyle15"/>
          <w:lang w:val="en-US" w:eastAsia="en-US"/>
        </w:rPr>
        <w:t>(</w:t>
      </w:r>
      <w:r>
        <w:fldChar w:fldCharType="begin"/>
      </w:r>
      <w:r>
        <w:rPr/>
        <w:instrText> HYPERLINK "https://gisp.gov.ru/pp719v2/pub/prod/" </w:instrText>
      </w:r>
      <w:r>
        <w:fldChar w:fldCharType="separate"/>
      </w:r>
      <w:r>
        <w:rPr>
          <w:rStyle w:val="CharStyle15"/>
          <w:u w:val="single"/>
          <w:lang w:val="en-US" w:eastAsia="en-US"/>
        </w:rPr>
        <w:t>https://gisp.gov.ru/pp719v2/pub/prod/</w:t>
      </w:r>
      <w:r>
        <w:fldChar w:fldCharType="end"/>
      </w:r>
      <w:r>
        <w:rPr>
          <w:rStyle w:val="CharStyle15"/>
          <w:lang w:val="en-US" w:eastAsia="en-US"/>
        </w:rPr>
        <w:t>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Проанализировав техническое задание заказчика, хотим обратить внимание Комиссии УФАС, что для всех указанных в техническом задании картриджей существуют российские аналоги, внесённые в реестр, а именно совместимый картридж </w:t>
      </w:r>
      <w:r>
        <w:rPr>
          <w:rStyle w:val="CharStyle15"/>
          <w:lang w:val="en-US" w:eastAsia="en-US"/>
        </w:rPr>
        <w:t xml:space="preserve">ATG </w:t>
      </w:r>
      <w:r>
        <w:rPr>
          <w:rStyle w:val="CharStyle15"/>
        </w:rPr>
        <w:t xml:space="preserve">(производитель ООО «ПК «ПОЛИТОН-ТЕХ»)— </w:t>
      </w:r>
      <w:r>
        <w:fldChar w:fldCharType="begin"/>
      </w:r>
      <w:r>
        <w:rPr/>
        <w:instrText> HYPERLINK "https://polyton.ooo/katalog/item/ATG-RRC-4657791551110/" </w:instrText>
      </w:r>
      <w:r>
        <w:fldChar w:fldCharType="separate"/>
      </w:r>
      <w:r>
        <w:rPr>
          <w:rStyle w:val="CharStyle15"/>
          <w:u w:val="single"/>
          <w:lang w:val="en-US" w:eastAsia="en-US"/>
        </w:rPr>
        <w:t>https://polyton.ooo/katalog/item/ATG-RRC-4657791551110/</w:t>
      </w:r>
      <w:r>
        <w:fldChar w:fldCharType="end"/>
      </w:r>
      <w:r>
        <w:rPr>
          <w:rStyle w:val="CharStyle15"/>
          <w:u w:val="single"/>
          <w:lang w:val="en-US" w:eastAsia="en-US"/>
        </w:rPr>
        <w:t xml:space="preserve">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>имеет подтверждённое российское происхождение и заключение Минпромторга.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Заказчик не указал характеристику "совместимый"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характеристику российского продукта, тем самым нарушает императивное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rStyle w:val="CharStyle15"/>
        </w:rPr>
        <w:t>требование ч.1.1 ст.33.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Код ОКПД2 </w:t>
      </w:r>
      <w:r>
        <w:rPr>
          <w:rStyle w:val="CharStyle15"/>
          <w:lang w:val="en-US" w:eastAsia="en-US"/>
        </w:rPr>
        <w:t xml:space="preserve">20.59.12.120, </w:t>
      </w:r>
      <w:r>
        <w:rPr>
          <w:rStyle w:val="CharStyle15"/>
        </w:rPr>
        <w:t xml:space="preserve">выбранный Заказчиком, входит в приложение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ПП РФ </w:t>
      </w:r>
      <w:r>
        <w:rPr>
          <w:rStyle w:val="CharStyle15"/>
          <w:lang w:val="en-US" w:eastAsia="en-US"/>
        </w:rPr>
        <w:t xml:space="preserve">№1875 </w:t>
      </w:r>
      <w:r>
        <w:rPr>
          <w:rStyle w:val="CharStyle15"/>
        </w:rPr>
        <w:t>и обязывает установить ЗАПРЕТ на закупку товаров иностранного происхождения.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нарушение п.1 ПП РФ </w:t>
      </w:r>
      <w:r>
        <w:rPr>
          <w:rStyle w:val="CharStyle15"/>
          <w:lang w:val="en-US" w:eastAsia="en-US"/>
        </w:rPr>
        <w:t xml:space="preserve">№1875 </w:t>
      </w:r>
      <w:r>
        <w:rPr>
          <w:rStyle w:val="CharStyle15"/>
        </w:rPr>
        <w:t>Заказчик вместо ЗАПРЕТА установил Ограничение закупок товаров, происходящих из иностранных государств выполняемых работ, оказываемых услуг иностранными лицами, следовательно обоснование невозможности соблюдения запрета, ограничения не соответствует коду ОКПД2.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20"/>
        <w:jc w:val="both"/>
      </w:pPr>
      <w:r>
        <w:rPr>
          <w:rStyle w:val="CharStyle15"/>
        </w:rPr>
        <w:t xml:space="preserve">Игнорирование Заказчиком вышеуказанных положений повлекло неверное толкование ограничительных норм, установленных Законом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44-ФЗ, а именно ст.14 и ПП РФ </w:t>
      </w:r>
      <w:r>
        <w:rPr>
          <w:rStyle w:val="CharStyle15"/>
          <w:lang w:val="en-US" w:eastAsia="en-US"/>
        </w:rPr>
        <w:t>№ 1875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.2. </w:t>
      </w:r>
      <w:r>
        <w:rPr>
          <w:rStyle w:val="CharStyle15"/>
        </w:rPr>
        <w:t xml:space="preserve">Нарушение п.1 ч.1 ст.42 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44-ФЗ, связанное с существенным разночтением между извещением о закупке и техническим заданием.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40"/>
        <w:jc w:val="both"/>
      </w:pPr>
      <w:r>
        <w:rPr>
          <w:rStyle w:val="CharStyle15"/>
        </w:rPr>
        <w:t xml:space="preserve">В техническом задании установлен код ОКПД2 </w:t>
      </w:r>
      <w:r>
        <w:rPr>
          <w:rStyle w:val="CharStyle15"/>
          <w:lang w:val="en-US" w:eastAsia="en-US"/>
        </w:rPr>
        <w:t xml:space="preserve">26.20.40.190 </w:t>
      </w:r>
      <w:r>
        <w:rPr>
          <w:rStyle w:val="CharStyle15"/>
        </w:rPr>
        <w:t>Комплектующие и запасные части для вычислительных машин прочие, не включенные в другие группировки.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извещении о закупке установлен код ОКПД2 </w:t>
      </w:r>
      <w:r>
        <w:rPr>
          <w:rStyle w:val="CharStyle15"/>
          <w:lang w:val="en-US" w:eastAsia="en-US"/>
        </w:rPr>
        <w:t>26.20.40.120».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Полный текст жалобы Заявителя имеется в материалах дела.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Представитель Заказчика с доводами жалобы не согласился, представил возражения, согласно которым: </w:t>
      </w:r>
      <w:r>
        <w:rPr>
          <w:rStyle w:val="CharStyle15"/>
          <w:lang w:val="en-US" w:eastAsia="en-US"/>
        </w:rPr>
        <w:t>«...</w:t>
      </w:r>
      <w:r>
        <w:rPr>
          <w:rStyle w:val="CharStyle15"/>
        </w:rPr>
        <w:t>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Закон о контрактной системе не содержит норм, ограничивающих право заказчика включать описание объекта закупки требования, которые являются для него объективно значимыми.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 силу подпункта «в»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в описание объекта закупки допускается использование указания на товарный знак или конкретный товар, в том числе при осуществлении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Размещенное техническое задание на поставку картриджей содержит предупреждение о том, что использование картриджей, являющихся поддельной (контрафактной) продукцией, может вызвать, в том числе сбои в функционировании печатающего оборудования, основанное на технической и эксплуатационной документации.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Таким образом, необходимость приобретения оригинальных тонер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 xml:space="preserve">картриджей, барабанов для принтеров </w:t>
      </w:r>
      <w:r>
        <w:rPr>
          <w:rStyle w:val="CharStyle15"/>
          <w:lang w:val="en-US" w:eastAsia="en-US"/>
        </w:rPr>
        <w:t xml:space="preserve">Fplus PB401dn </w:t>
      </w:r>
      <w:r>
        <w:rPr>
          <w:rStyle w:val="CharStyle15"/>
        </w:rPr>
        <w:t xml:space="preserve">обусловлена содержащейся информацией к технической и эксплуатационной документации к принтеру модели </w:t>
      </w:r>
      <w:r>
        <w:rPr>
          <w:rStyle w:val="CharStyle15"/>
          <w:lang w:val="en-US" w:eastAsia="en-US"/>
        </w:rPr>
        <w:t xml:space="preserve">Fplus PB401dn, </w:t>
      </w:r>
      <w:r>
        <w:rPr>
          <w:rStyle w:val="CharStyle15"/>
        </w:rPr>
        <w:t>из которой следует, что принтер рассчитан на работу с подлинными компонентами и расходными материалами, а использование расходных материалов или деталей сторонних производителей может снизить производительность надежность или срок службы принтера.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Срок службы указанного изделия </w:t>
      </w:r>
      <w:r>
        <w:rPr>
          <w:rStyle w:val="CharStyle15"/>
          <w:lang w:val="en-US" w:eastAsia="en-US"/>
        </w:rPr>
        <w:t xml:space="preserve">- 5 </w:t>
      </w:r>
      <w:r>
        <w:rPr>
          <w:rStyle w:val="CharStyle15"/>
        </w:rPr>
        <w:t>лет с даты начала эксплуатации.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Датой начала ввода указанных принтеров в эксплуатацию является </w:t>
      </w:r>
      <w:r>
        <w:rPr>
          <w:rStyle w:val="CharStyle15"/>
          <w:lang w:val="en-US" w:eastAsia="en-US"/>
        </w:rPr>
        <w:t xml:space="preserve">06.02.2025 </w:t>
      </w:r>
      <w:r>
        <w:rPr>
          <w:rStyle w:val="CharStyle15"/>
        </w:rPr>
        <w:t xml:space="preserve">подтверждается актом №00ГУ-00302 от </w:t>
      </w:r>
      <w:r>
        <w:rPr>
          <w:rStyle w:val="CharStyle15"/>
          <w:lang w:val="en-US" w:eastAsia="en-US"/>
        </w:rPr>
        <w:t xml:space="preserve">14.03.2025 </w:t>
      </w:r>
      <w:r>
        <w:rPr>
          <w:rStyle w:val="CharStyle15"/>
        </w:rPr>
        <w:t>о приеме-передаче объектов нефинансовых активов.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Указанный срок действителен при соблюдении потребителем требований действующей эксплуатационной документации.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В связи с чем, соблюдение инструкций по эксплуатации оборудования, предписанных производителем, является обязательным условием для обеспечения максимального срока службы и снижения вероятности его преждевременного выхода из строя.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Учитывая изложенное, закупка заказчиком оригинальных картриджей отвечает целям эффективного использования источников финансирования для обеспечения государственных нужд.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утвержденного Президиумом Верховного Суда Российской Федерации от </w:t>
      </w:r>
      <w:r>
        <w:rPr>
          <w:rStyle w:val="CharStyle15"/>
          <w:lang w:val="en-US" w:eastAsia="en-US"/>
        </w:rPr>
        <w:t xml:space="preserve">28.06.2017, </w:t>
      </w:r>
      <w:r>
        <w:rPr>
          <w:rStyle w:val="CharStyle15"/>
        </w:rPr>
        <w:t>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Сведения об официальных партнерах и уполномоченных дилерах представлены в открытом доступе на официальном сайте производителя </w:t>
      </w:r>
      <w:r>
        <w:rPr>
          <w:rStyle w:val="CharStyle15"/>
          <w:lang w:val="en-US" w:eastAsia="en-US"/>
        </w:rPr>
        <w:t>Fplus.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В настоящем случае, факт подачи четырех заявок на участие в закупочной процедуре указывает на отсутствие каких-либо ограничительных условий препятствующих участию иных потенциальных поставщиков, и соответствует принципам открытости и конкуренции, закрепленным в действующем законодательстве о закупках.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 документации к закупке указан код </w:t>
      </w:r>
      <w:r>
        <w:rPr>
          <w:rStyle w:val="CharStyle15"/>
          <w:lang w:val="en-US" w:eastAsia="en-US"/>
        </w:rPr>
        <w:t xml:space="preserve">ОКПІД2 26.20.40.120, </w:t>
      </w:r>
      <w:r>
        <w:rPr>
          <w:rStyle w:val="CharStyle15"/>
        </w:rPr>
        <w:t>который наиболее точно подходит под объект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С учетом положений законодательства, о контрактной системе, Правил формирования и использования КТРУ, выбор кода ОКПД2 в отношении необходимого товара, является правом заказчика.».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Полный текст возражений Заказчика, дополнения и приложения к ним имеются в материалах дела и изучены Комиссией антимонопольного органа.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Комиссия Управления Федеральной антимонопольной службы по Нижегородской области по контролю в сфере закупок, исследовав материалы дела и осуществив внеплановую проверку рассматриваемой закупки в соответствии с требованиями части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о контрактной системе, пришла к следующим выводам.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  <w:lang w:val="en-US" w:eastAsia="en-US"/>
        </w:rPr>
        <w:t xml:space="preserve">17.03.2026 </w:t>
      </w:r>
      <w:r>
        <w:rPr>
          <w:rStyle w:val="CharStyle15"/>
        </w:rPr>
        <w:t>в единой информационной системе в сфере закупок (далее -ЕИС) и на сайте АО «Сбербанк-АСТ» размещено извещение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способ определения поставщика (подрядчика, исполнителя): Запрос котировок в электронной форме;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5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начальная (максимальная) цена контракта: </w:t>
      </w:r>
      <w:r>
        <w:rPr>
          <w:rStyle w:val="CharStyle15"/>
          <w:lang w:val="en-US" w:eastAsia="en-US"/>
        </w:rPr>
        <w:t xml:space="preserve">818 413,40 </w:t>
      </w:r>
      <w:r>
        <w:rPr>
          <w:rStyle w:val="CharStyle15"/>
        </w:rPr>
        <w:t>руб.;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7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дата и время окончания срока подачи заявок: </w:t>
      </w:r>
      <w:r>
        <w:rPr>
          <w:rStyle w:val="CharStyle15"/>
          <w:lang w:val="en-US" w:eastAsia="en-US"/>
        </w:rPr>
        <w:t xml:space="preserve">24.04.2026 07:00 </w:t>
      </w:r>
      <w:r>
        <w:rPr>
          <w:rStyle w:val="CharStyle15"/>
        </w:rPr>
        <w:t>(МСК+1);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дата подведения итогов определения поставщика (подрядчика, исполнителя): </w:t>
      </w:r>
      <w:r>
        <w:rPr>
          <w:rStyle w:val="CharStyle15"/>
          <w:lang w:val="en-US" w:eastAsia="en-US"/>
        </w:rPr>
        <w:t>27.04.2026;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5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применен код ОКПД2 </w:t>
      </w:r>
      <w:r>
        <w:rPr>
          <w:rStyle w:val="CharStyle15"/>
          <w:lang w:val="en-US" w:eastAsia="en-US"/>
        </w:rPr>
        <w:t xml:space="preserve">26.20.40.120, </w:t>
      </w:r>
      <w:r>
        <w:rPr>
          <w:rStyle w:val="CharStyle15"/>
        </w:rPr>
        <w:t>КТРУ не применялся;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установлено ограничение закупок товаров, происходящих из иностранных государств, выполняемых работ, оказываемых услуг иностранными лицами;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27.04.2026 </w:t>
      </w:r>
      <w:r>
        <w:rPr>
          <w:rStyle w:val="CharStyle15"/>
        </w:rPr>
        <w:t xml:space="preserve">№ИЗК1 на участие в закупке подано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заявок участников. По результатам подведения итогов определения поставщика (подрядчика, исполнителя) победителем запроса котировок в электронной форме признается участник закупки с идентификационным номером </w:t>
      </w:r>
      <w:r>
        <w:rPr>
          <w:rStyle w:val="CharStyle15"/>
          <w:lang w:val="en-US" w:eastAsia="en-US"/>
        </w:rPr>
        <w:t xml:space="preserve">№ 167, </w:t>
      </w:r>
      <w:r>
        <w:rPr>
          <w:rStyle w:val="CharStyle15"/>
        </w:rPr>
        <w:t xml:space="preserve">предложивший цену контракта </w:t>
      </w:r>
      <w:r>
        <w:rPr>
          <w:rStyle w:val="CharStyle15"/>
          <w:lang w:val="en-US" w:eastAsia="en-US"/>
        </w:rPr>
        <w:t xml:space="preserve">555 000,00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Согласно статье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>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Запрещается совершение заказчиками, специализированными организациями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Закона о контрактной,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 извещение об осуществлении закупки, если иное не предусмотрено Законом о контрактной, должно содержать следующие электронные документы: описание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>сопровождение такого указания словами «или эквивалент»;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 используемыми заказчиком;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использование при составлении описания объекта закупки показателей, требований условных обозначений и терминологии, касающихся технических характеристик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 документация о закупке в соответствии с требованиями, указанными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 таким образом определить требования к закупаемым товарам, работам и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 документация о закупке в соответствии с требованиями, указанными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Указание заказчиком особых характеристик товара, которые отвечают его потребностям и необходимы заказчику с учетом специфики использования такого товара, а также, если такое имеет место быть в силу действующего законодательства, не может рассматриваться как ограничение круга потенциальных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Невозможность отдельных участников закупок по каким-либо причинам конкурировать с иными участниками рынка не является поводом учитывать данные обстоятельства заказчиком при формировании описании объекта закупки.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8" w:right="0" w:firstLine="0"/>
        <w:jc w:val="left"/>
      </w:pPr>
      <w:r>
        <w:rPr>
          <w:rStyle w:val="CharStyle22"/>
        </w:rPr>
        <w:t>Объектом Закупки, указанным в извещении, является</w:t>
      </w:r>
    </w:p>
    <w:tbl>
      <w:tblPr>
        <w:tblOverlap w:val="never"/>
        <w:jc w:val="center"/>
        <w:tblLayout w:type="fixed"/>
      </w:tblPr>
      <w:tblGrid>
        <w:gridCol w:w="2822"/>
        <w:gridCol w:w="5285"/>
        <w:gridCol w:w="2030"/>
      </w:tblGrid>
      <w:tr>
        <w:trPr>
          <w:trHeight w:val="3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rStyle w:val="CharStyle24"/>
              </w:rPr>
              <w:t xml:space="preserve">Код ОКПД </w:t>
            </w:r>
            <w:r>
              <w:rPr>
                <w:rStyle w:val="CharStyle24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4"/>
              </w:rPr>
              <w:t>Наименование товара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4"/>
              </w:rPr>
              <w:t>Количество</w:t>
            </w:r>
          </w:p>
        </w:tc>
      </w:tr>
      <w:tr>
        <w:trPr>
          <w:trHeight w:val="65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rStyle w:val="CharStyle24"/>
                <w:lang w:val="en-US" w:eastAsia="en-US"/>
              </w:rPr>
              <w:t>26.20.40.120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4"/>
              </w:rPr>
              <w:t xml:space="preserve">Тонер-картридж </w:t>
            </w:r>
            <w:r>
              <w:rPr>
                <w:rStyle w:val="CharStyle24"/>
                <w:lang w:val="en-US" w:eastAsia="en-US"/>
              </w:rPr>
              <w:t xml:space="preserve">42STB15 </w:t>
            </w:r>
            <w:r>
              <w:rPr>
                <w:rStyle w:val="CharStyle24"/>
              </w:rPr>
              <w:t>(оригинальный)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4"/>
                <w:lang w:val="en-US" w:eastAsia="en-US"/>
              </w:rPr>
              <w:t>35</w:t>
            </w:r>
          </w:p>
        </w:tc>
      </w:tr>
      <w:tr>
        <w:trPr>
          <w:trHeight w:val="67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rStyle w:val="CharStyle24"/>
                <w:lang w:val="en-US" w:eastAsia="en-US"/>
              </w:rPr>
              <w:t>26.20.40.120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4"/>
              </w:rPr>
              <w:t xml:space="preserve">Барабан </w:t>
            </w:r>
            <w:r>
              <w:rPr>
                <w:rStyle w:val="CharStyle24"/>
                <w:lang w:val="en-US" w:eastAsia="en-US"/>
              </w:rPr>
              <w:t xml:space="preserve">- </w:t>
            </w:r>
            <w:r>
              <w:rPr>
                <w:rStyle w:val="CharStyle24"/>
              </w:rPr>
              <w:t xml:space="preserve">блок формирования изображения </w:t>
            </w:r>
            <w:r>
              <w:rPr>
                <w:rStyle w:val="CharStyle24"/>
                <w:lang w:val="en-US" w:eastAsia="en-US"/>
              </w:rPr>
              <w:t xml:space="preserve">40IU40 </w:t>
            </w:r>
            <w:r>
              <w:rPr>
                <w:rStyle w:val="CharStyle24"/>
              </w:rPr>
              <w:t>(оригинальный)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4"/>
                <w:lang w:val="en-US" w:eastAsia="en-US"/>
              </w:rPr>
              <w:t>20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3" w:right="0" w:firstLine="0"/>
        <w:jc w:val="left"/>
      </w:pPr>
      <w:r>
        <w:rPr>
          <w:rStyle w:val="CharStyle22"/>
        </w:rPr>
        <w:t xml:space="preserve">Указанный код ОКПД </w:t>
      </w:r>
      <w:r>
        <w:rPr>
          <w:rStyle w:val="CharStyle22"/>
          <w:lang w:val="en-US" w:eastAsia="en-US"/>
        </w:rPr>
        <w:t xml:space="preserve">2 </w:t>
      </w:r>
      <w:r>
        <w:rPr>
          <w:rStyle w:val="CharStyle22"/>
        </w:rPr>
        <w:t xml:space="preserve">имеет отношение к позиции </w:t>
      </w:r>
      <w:r>
        <w:rPr>
          <w:rStyle w:val="CharStyle22"/>
          <w:lang w:val="en-US" w:eastAsia="en-US"/>
        </w:rPr>
        <w:t xml:space="preserve">№ 205 </w:t>
      </w:r>
      <w:r>
        <w:rPr>
          <w:rStyle w:val="CharStyle22"/>
        </w:rPr>
        <w:t xml:space="preserve">Приложения </w:t>
      </w:r>
      <w:r>
        <w:rPr>
          <w:rStyle w:val="CharStyle22"/>
          <w:lang w:val="en-US" w:eastAsia="en-US"/>
        </w:rPr>
        <w:t>№ 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>№ 1875.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В извещении Заказчиком продекларировано ограничение закупок товаров происходящих из иностранных государств, выполняемых работ, оказываемых услуг иностранными лицами.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Подпунктом «а» пункта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>установлено, что для целей осуществлении закупок в соответствии с Законом о контрактной системе особенностями описания объекта закупки, являющегося товаром (в том числе поставляемым при выполнении закупаемых работ, оказании закупаемых услуг) производство которого на территории Российской Федерации отсутствует, являются: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для служебного пользования;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при осуществлении закупки товаров, указанных в позициях </w:t>
      </w:r>
      <w:r>
        <w:rPr>
          <w:rStyle w:val="CharStyle15"/>
          <w:lang w:val="en-US" w:eastAsia="en-US"/>
        </w:rPr>
        <w:t xml:space="preserve">1 - 145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1 </w:t>
      </w:r>
      <w:r>
        <w:rPr>
          <w:rStyle w:val="CharStyle15"/>
        </w:rPr>
        <w:t xml:space="preserve">к настоящему постановлению,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декларирование в извещении об осуществлении закупки или в приглашении принять участие в определении поставщика (подрядчика, исполнителя) факта получения предусмотренного подпунктом «а» пункта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>настоящего постановления разрешения с указанием его реквизитов и характеристик товара, являющихся идентичными характеристикам, содержащимся в обращении, на основании которого выдано такое разрешение;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при осуществлении закупки товаров, указанных в позициях </w:t>
      </w:r>
      <w:r>
        <w:rPr>
          <w:rStyle w:val="CharStyle15"/>
          <w:lang w:val="en-US" w:eastAsia="en-US"/>
        </w:rPr>
        <w:t xml:space="preserve">1 - 433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2 </w:t>
      </w:r>
      <w:r>
        <w:rPr>
          <w:rStyle w:val="CharStyle15"/>
        </w:rPr>
        <w:t xml:space="preserve">к настоящему постановлению,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классификатору продукции по видам экономической деятельности ОК </w:t>
      </w:r>
      <w:r>
        <w:rPr>
          <w:rStyle w:val="CharStyle15"/>
          <w:lang w:val="en-US" w:eastAsia="en-US"/>
        </w:rPr>
        <w:t xml:space="preserve">034-2014 </w:t>
      </w:r>
      <w:r>
        <w:rPr>
          <w:rStyle w:val="CharStyle15"/>
        </w:rPr>
        <w:t xml:space="preserve">(КПЕС </w:t>
      </w:r>
      <w:r>
        <w:rPr>
          <w:rStyle w:val="CharStyle15"/>
          <w:lang w:val="en-US" w:eastAsia="en-US"/>
        </w:rPr>
        <w:t xml:space="preserve">2008), </w:t>
      </w:r>
      <w:r>
        <w:rPr>
          <w:rStyle w:val="CharStyle15"/>
        </w:rPr>
        <w:t>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союза, и характеристики такого товара);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при осуществлении закупки товаров, не указанных в позициях </w:t>
      </w:r>
      <w:r>
        <w:rPr>
          <w:rStyle w:val="CharStyle15"/>
          <w:lang w:val="en-US" w:eastAsia="en-US"/>
        </w:rPr>
        <w:t xml:space="preserve">1 - 145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1 </w:t>
      </w:r>
      <w:r>
        <w:rPr>
          <w:rStyle w:val="CharStyle15"/>
        </w:rPr>
        <w:t xml:space="preserve">к настоящему постановлению, позициях </w:t>
      </w:r>
      <w:r>
        <w:rPr>
          <w:rStyle w:val="CharStyle15"/>
          <w:lang w:val="en-US" w:eastAsia="en-US"/>
        </w:rPr>
        <w:t xml:space="preserve">1 - 433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2 </w:t>
      </w:r>
      <w:r>
        <w:rPr>
          <w:rStyle w:val="CharStyle15"/>
        </w:rPr>
        <w:t xml:space="preserve">к настоящему постановлению,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на территории Российской Федерации производства такого товара с характеристиками, соответствующими потребности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заказчика,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Таким образом, Заказчиком правомерно применен код ОКПД </w:t>
      </w:r>
      <w:r>
        <w:rPr>
          <w:rStyle w:val="CharStyle15"/>
          <w:lang w:val="en-US" w:eastAsia="en-US"/>
        </w:rPr>
        <w:t xml:space="preserve">2 26.20.40.120 </w:t>
      </w:r>
      <w:r>
        <w:rPr>
          <w:rStyle w:val="CharStyle15"/>
        </w:rPr>
        <w:t>который, в свою очередь подпадает под ограничение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Следовательно, мера «ограничение» Заказчиком установлена правомерно.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2"/>
        </w:rPr>
        <w:t>Вместе с тем как указывалось выше Заказчиком при описании объекта закупки не применены параметры «эквивалентности», структурированная форма извещения изложена следующим образом:</w:t>
      </w:r>
    </w:p>
    <w:tbl>
      <w:tblPr>
        <w:tblOverlap w:val="never"/>
        <w:jc w:val="center"/>
        <w:tblLayout w:type="fixed"/>
      </w:tblPr>
      <w:tblGrid>
        <w:gridCol w:w="1810"/>
        <w:gridCol w:w="4435"/>
        <w:gridCol w:w="3965"/>
      </w:tblGrid>
      <w:tr>
        <w:trPr>
          <w:trHeight w:val="3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Код позиции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Наименование товара, работы, услуги</w:t>
            </w:r>
          </w:p>
        </w:tc>
      </w:tr>
      <w:tr>
        <w:trPr>
          <w:trHeight w:val="8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26.20.40.120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Тонер-картридж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42STB15 </w:t>
            </w:r>
            <w:r>
              <w:rPr>
                <w:rStyle w:val="CharStyle24"/>
                <w:sz w:val="24"/>
                <w:szCs w:val="24"/>
              </w:rPr>
              <w:t>(оригинальный)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Применение Предназначен для использования в принтерах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>Fplus PB401dn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Ресурс не менее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15000 </w:t>
            </w:r>
            <w:r>
              <w:rPr>
                <w:rStyle w:val="CharStyle24"/>
                <w:sz w:val="24"/>
                <w:szCs w:val="24"/>
              </w:rPr>
              <w:t>страниц</w:t>
            </w:r>
          </w:p>
        </w:tc>
      </w:tr>
      <w:tr>
        <w:trPr>
          <w:trHeight w:val="6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Инструкция по заполнению характеристик в заявке</w:t>
            </w:r>
          </w:p>
        </w:tc>
      </w:tr>
      <w:tr>
        <w:trPr>
          <w:trHeight w:val="89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Применение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Предназначен для использования в принтерах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Fplus PB401dn </w:t>
            </w:r>
            <w:r>
              <w:rPr>
                <w:rStyle w:val="CharStyle24"/>
                <w:sz w:val="24"/>
                <w:szCs w:val="24"/>
              </w:rPr>
              <w:t xml:space="preserve">Ресурс не менее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15000 </w:t>
            </w:r>
            <w:r>
              <w:rPr>
                <w:rStyle w:val="CharStyle24"/>
                <w:sz w:val="24"/>
                <w:szCs w:val="24"/>
              </w:rPr>
              <w:t>страниц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widowControl w:val="0"/>
        <w:spacing w:after="2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10"/>
        <w:gridCol w:w="4435"/>
        <w:gridCol w:w="3965"/>
      </w:tblGrid>
      <w:tr>
        <w:trPr>
          <w:trHeight w:val="8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26.20.40.120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Барабан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- </w:t>
            </w:r>
            <w:r>
              <w:rPr>
                <w:rStyle w:val="CharStyle24"/>
                <w:sz w:val="24"/>
                <w:szCs w:val="24"/>
              </w:rPr>
              <w:t xml:space="preserve">блок формирования изображения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40IU40 </w:t>
            </w:r>
            <w:r>
              <w:rPr>
                <w:rStyle w:val="CharStyle24"/>
                <w:sz w:val="24"/>
                <w:szCs w:val="24"/>
              </w:rPr>
              <w:t xml:space="preserve">(оригинальный) Применение Предназначен для использования в принтерах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>Fplus PB401dn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Ресурс не менее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30000 </w:t>
            </w:r>
            <w:r>
              <w:rPr>
                <w:rStyle w:val="CharStyle24"/>
                <w:sz w:val="24"/>
                <w:szCs w:val="24"/>
              </w:rPr>
              <w:t>страниц</w:t>
            </w:r>
          </w:p>
        </w:tc>
      </w:tr>
      <w:tr>
        <w:trPr>
          <w:trHeight w:val="60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Инструкция по заполнению характеристик в заявке</w:t>
            </w:r>
          </w:p>
        </w:tc>
      </w:tr>
      <w:tr>
        <w:trPr>
          <w:trHeight w:val="89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Применение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Предназначен для использования в принтерах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Fplus PB401dn </w:t>
            </w:r>
            <w:r>
              <w:rPr>
                <w:rStyle w:val="CharStyle24"/>
                <w:sz w:val="24"/>
                <w:szCs w:val="24"/>
              </w:rPr>
              <w:t xml:space="preserve">Ресурс не менее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30000 </w:t>
            </w:r>
            <w:r>
              <w:rPr>
                <w:rStyle w:val="CharStyle24"/>
                <w:sz w:val="24"/>
                <w:szCs w:val="24"/>
              </w:rPr>
              <w:t>страниц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2"/>
        </w:rPr>
        <w:t>Описание объекта закупки, изложенное указанным способом фактически исключает возможность поставки эквивалентного товара, совместимого с имеющейся у Заказчика копировально-множительной техникой.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При этом Заказчиком представлены сведения, которые подтвердил в ходе заседания Комиссии представитель Заказчика, данные устройства не находятся на гарантии. При этом, представитель Заказчика неоднократно обращала внимание, что собственником техники не является Заказчик, ввиду чего требования к закупке и применению расходных материалов на данную технику является требованием собственника.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Между тем Комиссия отмечает, что документально данный факт не подтвержден, в приложенных Заказчиком на рассмотрение Комиссии документах отсутствует письмо изготовителя, импортера, собственника техники с указанием запрета на использование совместимых картриджей.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560"/>
        <w:jc w:val="both"/>
      </w:pPr>
      <w:r>
        <w:rPr>
          <w:rStyle w:val="CharStyle15"/>
        </w:rPr>
        <w:t>Таким образом, неприменение в указанном случае параметра эквивалентности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нарушает требования положений 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Таким образом, в указанной части довод жалобы признается 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Кроме того в ходе внеплановой проверки установлено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Как указано выше в структурированной форме извещения указан код ОКПД </w:t>
      </w:r>
      <w:r>
        <w:rPr>
          <w:rStyle w:val="CharStyle15"/>
          <w:lang w:val="en-US" w:eastAsia="en-US"/>
        </w:rPr>
        <w:t>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  <w:lang w:val="en-US" w:eastAsia="en-US"/>
        </w:rPr>
        <w:t xml:space="preserve">26.20.40.120, </w:t>
      </w:r>
      <w:r>
        <w:rPr>
          <w:rStyle w:val="CharStyle15"/>
        </w:rPr>
        <w:t>однако в составе закупочной документации приложен файл 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 xml:space="preserve">наименованием «ООЗ картириджи для </w:t>
      </w:r>
      <w:r>
        <w:rPr>
          <w:rStyle w:val="CharStyle22"/>
          <w:lang w:val="en-US" w:eastAsia="en-US"/>
        </w:rPr>
        <w:t>fplus».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 xml:space="preserve">Пункт </w:t>
      </w:r>
      <w:r>
        <w:rPr>
          <w:rStyle w:val="CharStyle22"/>
          <w:lang w:val="en-US" w:eastAsia="en-US"/>
        </w:rPr>
        <w:t xml:space="preserve">3.2 </w:t>
      </w:r>
      <w:r>
        <w:rPr>
          <w:rStyle w:val="CharStyle22"/>
        </w:rPr>
        <w:t>Описания объекта закупки изложен следующим образом</w:t>
      </w:r>
    </w:p>
    <w:tbl>
      <w:tblPr>
        <w:tblOverlap w:val="never"/>
        <w:jc w:val="center"/>
        <w:tblLayout w:type="fixed"/>
      </w:tblPr>
      <w:tblGrid>
        <w:gridCol w:w="562"/>
        <w:gridCol w:w="2069"/>
        <w:gridCol w:w="2400"/>
        <w:gridCol w:w="2952"/>
        <w:gridCol w:w="1368"/>
        <w:gridCol w:w="677"/>
      </w:tblGrid>
      <w:tr>
        <w:trPr>
          <w:trHeight w:val="10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24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Характеристика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Наименование объекта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закупки по ОКПД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Кол- во</w:t>
            </w:r>
          </w:p>
        </w:tc>
      </w:tr>
      <w:tr>
        <w:trPr>
          <w:trHeight w:val="14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Тонер-картридж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42STB15 </w:t>
            </w:r>
            <w:r>
              <w:rPr>
                <w:rStyle w:val="CharStyle24"/>
                <w:sz w:val="20"/>
                <w:szCs w:val="20"/>
              </w:rPr>
              <w:t>(оригинальный)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Предназначен для использования в принтерах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>Fplus PB401dn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Ресурс не менее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15000 </w:t>
            </w:r>
            <w:r>
              <w:rPr>
                <w:rStyle w:val="CharStyle24"/>
                <w:sz w:val="20"/>
                <w:szCs w:val="20"/>
              </w:rPr>
              <w:t>страниц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26.20.40.190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Комплектующие и запасные части для вычислительных машин прочие, не включенные в другие группировки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35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Барабан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24"/>
                <w:sz w:val="20"/>
                <w:szCs w:val="20"/>
              </w:rPr>
              <w:t xml:space="preserve">блок формирования изображения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40IU40 </w:t>
            </w:r>
            <w:r>
              <w:rPr>
                <w:rStyle w:val="CharStyle24"/>
                <w:sz w:val="20"/>
                <w:szCs w:val="20"/>
              </w:rPr>
              <w:t>(оригинальный)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Предназначен для использования в принтерах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>Fplus PB401dn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Ресурс не менее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30000 </w:t>
            </w:r>
            <w:r>
              <w:rPr>
                <w:rStyle w:val="CharStyle24"/>
                <w:sz w:val="20"/>
                <w:szCs w:val="20"/>
              </w:rPr>
              <w:t>страниц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26.20.40.190 </w:t>
            </w:r>
            <w:r>
              <w:rPr>
                <w:rStyle w:val="CharStyle24"/>
                <w:sz w:val="20"/>
                <w:szCs w:val="20"/>
              </w:rPr>
              <w:t>Комплектующие и запасные части для вычислительных машин прочие, не включенные в другие группировки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20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2"/>
        </w:rPr>
        <w:t xml:space="preserve">Таким образом имеется разночтение в части указания кода ОКПД </w:t>
      </w:r>
      <w:r>
        <w:rPr>
          <w:rStyle w:val="CharStyle22"/>
          <w:lang w:val="en-US" w:eastAsia="en-US"/>
        </w:rPr>
        <w:t xml:space="preserve">2 </w:t>
      </w:r>
      <w:r>
        <w:rPr>
          <w:rStyle w:val="CharStyle22"/>
        </w:rPr>
        <w:t>в структурированной форме извещения и вложенном файле.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Из совокупности рассмотренных пояснений, сведений и документов, Комиссия Нижегородского УФАС России приходит к выводу о нарушении Заказчиком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3,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системе, поскольку сформированное Заказчиком описание объекта закупки является ограничивающим конкуренцию при отсутствии представления Заказчиком необходимой информации и документов в ходе рассмотрения жалобы и проведения внеплановой проверки, а также в связи с расхождением </w:t>
      </w:r>
      <w:r>
        <w:rPr>
          <w:rStyle w:val="CharStyle15"/>
          <w:lang w:val="en-US" w:eastAsia="en-US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 исполнителей).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Комиссия антимонопольного органа приходит к выводу о необходимости выдачи обязательного для исполнения предписания.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На основании изложенного и руководствуясь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15, </w:t>
      </w: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99, </w:t>
      </w: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системе, Комиссия Нижегородского УФАС России,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решила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признать жалобу ООО «Квазар» на действия Арбитражного суда Ульяновской области при проведении запроса котировок на поставку оригинальных тонер- картриджей, барабанов для принтеров </w:t>
      </w:r>
      <w:r>
        <w:rPr>
          <w:rStyle w:val="CharStyle15"/>
          <w:lang w:val="en-US" w:eastAsia="en-US"/>
        </w:rPr>
        <w:t xml:space="preserve">Fplus PB401dn </w:t>
      </w:r>
      <w:r>
        <w:rPr>
          <w:rStyle w:val="CharStyle15"/>
        </w:rPr>
        <w:t xml:space="preserve">(в сфере ИКТ), извещение </w:t>
      </w:r>
      <w:r>
        <w:rPr>
          <w:rStyle w:val="CharStyle15"/>
          <w:lang w:val="en-US" w:eastAsia="en-US"/>
        </w:rPr>
        <w:t xml:space="preserve">№0368100009226000046, </w:t>
      </w:r>
      <w:r>
        <w:rPr>
          <w:rStyle w:val="CharStyle15"/>
        </w:rPr>
        <w:t>обоснованной;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признать в действиях Заказчика нарушение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33,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0" w:val="left"/>
        </w:tabs>
        <w:bidi w:val="0"/>
        <w:spacing w:before="0" w:after="0" w:line="240" w:lineRule="auto"/>
        <w:ind w:left="0" w:right="0" w:firstLine="560"/>
        <w:jc w:val="left"/>
      </w:pPr>
      <w:r>
        <w:rPr>
          <w:rStyle w:val="CharStyle15"/>
        </w:rPr>
        <w:t>выдать обязательное для исполнения предписание;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6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передать материалы дела уполномоченному должностному лицу Нижегородского УФАС России для рассмотрения вопроса о возможности возбуждения административного производства в отношении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 настоящее решение может быть обжаловано в судебном порядке в течение трех месяцев со дня его принятия.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3484245</wp:posOffset>
                </wp:positionH>
                <wp:positionV relativeFrom="paragraph">
                  <wp:posOffset>165100</wp:posOffset>
                </wp:positionV>
                <wp:extent cx="1722120" cy="25908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74.35000000000002pt;margin-top:13.pt;width:135.59999999999999pt;height:20.400000000000002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  <w:color w:val="000000"/>
        </w:rPr>
        <w:t>Председатель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180" w:lineRule="auto"/>
        <w:ind w:right="0" w:firstLine="0"/>
        <w:jc w:val="left"/>
      </w:pPr>
      <w:r>
        <w:rPr>
          <w:rStyle w:val="CharStyle18"/>
        </w:rPr>
        <w:t>Подлинник электоонного документа, подписанного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color w:val="000000"/>
        </w:rPr>
        <w:t>И.С. Канаева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Канаева Ирина Сергеевна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40"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00C0B702B4B52D40D7A483D5EEEFDC0E3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29"/>
        </w:rPr>
        <w:t xml:space="preserve">Действителен с 18.09.2025 </w:t>
      </w:r>
      <w:r>
        <w:rPr>
          <w:rStyle w:val="CharStyle29"/>
          <w:color w:val="5A5A5A"/>
        </w:rPr>
        <w:t xml:space="preserve">по </w:t>
      </w:r>
      <w:r>
        <w:rPr>
          <w:rStyle w:val="CharStyle29"/>
        </w:rPr>
        <w:t>12.12.2026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rStyle w:val="CharStyle15"/>
          <w:color w:val="000000"/>
        </w:rPr>
        <w:t>Члены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5758180</wp:posOffset>
                </wp:positionH>
                <wp:positionV relativeFrom="paragraph">
                  <wp:posOffset>266700</wp:posOffset>
                </wp:positionV>
                <wp:extent cx="1124585" cy="25273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color w:val="000000"/>
                              </w:rPr>
                              <w:t>И.А. Королёва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3.40000000000003pt;margin-top:21.pt;width:88.549999999999997pt;height:19.900000000000002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color w:val="000000"/>
                        </w:rPr>
                        <w:t>И.А. Королёва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8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Королёва Ирина Андреевна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40"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00C37A327BDE0B3DCB5E7D45FE744668C</w:t>
      </w:r>
      <w:r>
        <w:rPr>
          <w:rStyle w:val="CharStyle29"/>
          <w:lang w:val="en-US" w:eastAsia="en-US"/>
        </w:rPr>
        <w:t>(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rStyle w:val="CharStyle29"/>
        </w:rPr>
        <w:t xml:space="preserve">Действителен с </w:t>
      </w:r>
      <w:r>
        <w:rPr>
          <w:rStyle w:val="CharStyle29"/>
          <w:color w:val="5A5A5A"/>
        </w:rPr>
        <w:t xml:space="preserve">30.12.2025 по </w:t>
      </w:r>
      <w:r>
        <w:rPr>
          <w:rStyle w:val="CharStyle29"/>
        </w:rPr>
        <w:t>25.03.2027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00" w:right="0" w:firstLine="0"/>
        <w:jc w:val="left"/>
      </w:pPr>
      <w:r>
        <w:rPr>
          <w:rStyle w:val="CharStyle18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color w:val="000000"/>
        </w:rPr>
        <w:t>Д.А. Колденков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Колденков Даниил Александрович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40"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00D84EF2E1E1AF1681EC520B87FD3DE73</w:t>
      </w:r>
      <w:r>
        <w:rPr>
          <w:rStyle w:val="CharStyle29"/>
          <w:lang w:val="en-US" w:eastAsia="en-US"/>
        </w:rPr>
        <w:t>E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rStyle w:val="CharStyle29"/>
        </w:rPr>
        <w:t xml:space="preserve">Действителен с </w:t>
      </w:r>
      <w:r>
        <w:rPr>
          <w:rStyle w:val="CharStyle29"/>
          <w:color w:val="5A5A5A"/>
        </w:rPr>
        <w:t>29.08.2025 по 22.1</w:t>
      </w:r>
      <w:r>
        <w:rPr>
          <w:rStyle w:val="CharStyle29"/>
          <w:color w:val="292929"/>
        </w:rPr>
        <w:t>1</w:t>
      </w:r>
      <w:r>
        <w:rPr>
          <w:rStyle w:val="CharStyle29"/>
        </w:rPr>
        <w:t>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6"/>
          <w:color w:val="000000"/>
          <w:sz w:val="22"/>
          <w:szCs w:val="22"/>
        </w:rPr>
        <w:t>Исп.Железов Е.С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6"/>
          <w:color w:val="000000"/>
          <w:sz w:val="22"/>
          <w:szCs w:val="22"/>
        </w:rPr>
        <w:t>тел.431-73-85, 052-803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89" w:right="538" w:bottom="775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777875</wp:posOffset>
              </wp:positionH>
              <wp:positionV relativeFrom="page">
                <wp:posOffset>10114280</wp:posOffset>
              </wp:positionV>
              <wp:extent cx="734695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2026-10615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25pt;margin-top:796.39999999999998pt;width:57.8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2026-10615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885190</wp:posOffset>
              </wp:positionH>
              <wp:positionV relativeFrom="page">
                <wp:posOffset>10031730</wp:posOffset>
              </wp:positionV>
              <wp:extent cx="737870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2026-10615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9.700000000000003pt;margin-top:789.89999999999998pt;width:58.100000000000001pt;height:8.6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2026-10615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3892550</wp:posOffset>
              </wp:positionH>
              <wp:positionV relativeFrom="page">
                <wp:posOffset>669925</wp:posOffset>
              </wp:positionV>
              <wp:extent cx="140335" cy="7302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6.5pt;margin-top:52.75pt;width:11.050000000000001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1111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11111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11111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1111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11111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9E"/>
      <w:sz w:val="20"/>
      <w:szCs w:val="20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Picture caption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E"/>
      <w:sz w:val="20"/>
      <w:szCs w:val="2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11111"/>
      <w:sz w:val="28"/>
      <w:szCs w:val="28"/>
      <w:u w:val="none"/>
    </w:rPr>
  </w:style>
  <w:style w:type="character" w:customStyle="1" w:styleId="CharStyle18">
    <w:name w:val="Body text (2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Table caption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11111"/>
      <w:sz w:val="28"/>
      <w:szCs w:val="28"/>
      <w:u w:val="none"/>
    </w:rPr>
  </w:style>
  <w:style w:type="character" w:customStyle="1" w:styleId="CharStyle24">
    <w:name w:val="Other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11111"/>
      <w:sz w:val="28"/>
      <w:szCs w:val="28"/>
      <w:u w:val="none"/>
    </w:rPr>
  </w:style>
  <w:style w:type="character" w:customStyle="1" w:styleId="CharStyle29">
    <w:name w:val="Body text (3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9E"/>
      <w:sz w:val="20"/>
      <w:szCs w:val="20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E"/>
      <w:sz w:val="20"/>
      <w:szCs w:val="2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11111"/>
      <w:sz w:val="28"/>
      <w:szCs w:val="28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43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Table caption"/>
    <w:basedOn w:val="Normal"/>
    <w:link w:val="CharStyle22"/>
    <w:pPr>
      <w:widowControl w:val="0"/>
      <w:shd w:val="clear" w:color="auto" w:fill="auto"/>
      <w:ind w:firstLine="5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11111"/>
      <w:sz w:val="28"/>
      <w:szCs w:val="28"/>
      <w:u w:val="none"/>
    </w:rPr>
  </w:style>
  <w:style w:type="paragraph" w:customStyle="1" w:styleId="Style23">
    <w:name w:val="Other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11111"/>
      <w:sz w:val="28"/>
      <w:szCs w:val="28"/>
      <w:u w:val="none"/>
    </w:rPr>
  </w:style>
  <w:style w:type="paragraph" w:customStyle="1" w:styleId="Style28">
    <w:name w:val="Body text (3)"/>
    <w:basedOn w:val="Normal"/>
    <w:link w:val="CharStyle29"/>
    <w:pPr>
      <w:widowControl w:val="0"/>
      <w:shd w:val="clear" w:color="auto" w:fill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png"/><Relationship Id="rId14" Type="http://schemas.openxmlformats.org/officeDocument/2006/relationships/image" Target="media/image3.png" TargetMode="External"/></Relationships>
</file>