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718820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31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00000000000001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31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2052955" simplePos="0" relativeHeight="125829381" behindDoc="0" locked="0" layoutInCell="1" allowOverlap="1">
                <wp:simplePos x="0" y="0"/>
                <wp:positionH relativeFrom="page">
                  <wp:posOffset>767715</wp:posOffset>
                </wp:positionH>
                <wp:positionV relativeFrom="paragraph">
                  <wp:posOffset>3145790</wp:posOffset>
                </wp:positionV>
                <wp:extent cx="59436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450000000000003pt;margin-top:247.70000000000002pt;width:46.800000000000004pt;height:17.050000000000001pt;z-index:-125829372;mso-wrap-distance-left:12.85pt;mso-wrap-distance-top:246.70000000000002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sz w:val="24"/>
                          <w:szCs w:val="24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01600" distB="0" distL="114300" distR="114300" simplePos="0" relativeHeight="125829383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ООО "Саморезыч"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0"/>
        <w:jc w:val="left"/>
      </w:pPr>
      <w:r>
        <w:rPr>
          <w:rStyle w:val="CharStyle12"/>
        </w:rPr>
        <w:t>453431, Республика Башкортостан, Благовещенский район, город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60"/>
        <w:jc w:val="left"/>
      </w:pPr>
      <w:r>
        <w:rPr>
          <w:rStyle w:val="CharStyle12"/>
        </w:rPr>
        <w:t xml:space="preserve">Благовещенск, ул. Седова, д. 116, офис 1 </w:t>
      </w:r>
      <w:r>
        <w:fldChar w:fldCharType="begin"/>
      </w:r>
      <w:r>
        <w:rPr/>
        <w:instrText> HYPERLINK "mailto:samorezich@mail.ru" </w:instrText>
      </w:r>
      <w:r>
        <w:fldChar w:fldCharType="separate"/>
      </w:r>
      <w:r>
        <w:rPr>
          <w:rStyle w:val="CharStyle12"/>
          <w:lang w:val="en-US" w:eastAsia="en-US"/>
        </w:rPr>
        <w:t>samorezich@mail.ru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0"/>
        <w:jc w:val="left"/>
      </w:pPr>
      <w:r>
        <w:rPr>
          <w:rStyle w:val="CharStyle12"/>
        </w:rPr>
        <w:t>МУНИЦИПАЛЬНОЕ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0"/>
        <w:jc w:val="left"/>
      </w:pPr>
      <w:r>
        <w:rPr>
          <w:rStyle w:val="CharStyle12"/>
        </w:rPr>
        <w:t>ОБЩЕОБРАЗОВАТЕЛЬНОЕ БЮДЖЕТНОЕ УЧРЕЖДЕНИЕ ОСНОВНАЯ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860" w:right="0" w:firstLine="60"/>
        <w:jc w:val="left"/>
      </w:pPr>
      <w:r>
        <w:rPr>
          <w:rStyle w:val="CharStyle12"/>
        </w:rPr>
        <w:t xml:space="preserve">ОБЩЕОБРАЗОВАТЕЛЬНАЯ ШКОЛА СЕЛА САННИНСКОЕ МУНИЦИПАЛЬНОГО РАЙОНА БЛАГОВЕЩЕНСКИЙ РАЙОН РЕСПУБЛИКИ БАШКОРТОСТАН </w:t>
      </w:r>
      <w:r>
        <w:fldChar w:fldCharType="begin"/>
      </w:r>
      <w:r>
        <w:rPr/>
        <w:instrText> HYPERLINK "mailto:schoolsan1@rambler.ru" </w:instrText>
      </w:r>
      <w:r>
        <w:fldChar w:fldCharType="separate"/>
      </w:r>
      <w:r>
        <w:rPr>
          <w:rStyle w:val="CharStyle12"/>
          <w:lang w:val="en-US" w:eastAsia="en-US"/>
        </w:rPr>
        <w:t>schoolsan1@rambler.ru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 № ТО 002/06/106-822/2026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325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rStyle w:val="CharStyle12"/>
        </w:rPr>
        <w:t>«28» апреля 2026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2"/>
        </w:rPr>
        <w:t>Председатель Комиссии – начальника отдела контроля закупок Управления Федеральной антимонопольной службы по Республике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специалист-эксперт отдела контроля закупок – Исламов И.Т.;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специалист-эксперт отдела контроля закупок – Шакиров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  <w:b/>
          <w:bCs/>
        </w:rPr>
        <w:t xml:space="preserve">Заказчик: </w:t>
      </w:r>
      <w:r>
        <w:rPr>
          <w:rStyle w:val="CharStyle12"/>
        </w:rPr>
        <w:t>МОБУ ООШ с. Саннинское МР Благовещенский р-н РБ;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60"/>
        <w:jc w:val="left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ООО «САМОРЕЗЫЧ»;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920"/>
        <w:jc w:val="both"/>
      </w:pPr>
      <w:r>
        <w:rPr>
          <w:rStyle w:val="CharStyle12"/>
        </w:rPr>
        <w:t>В адрес Управления Федеральной антимонопольной службы по Республике Башкортостан поступила жалоба от ООО «САМОРЕЗЫЧ» (вх. 6347/26 от 24.04.2026) на действия Заказчика при проведении закупки № 0301300339026000001 «Закупка и установка оконных блоков в здании МОБУ ООШ с. Саннинское, расположенном по адресу: 453444, Республика Башкортостан, Благовещенский район, с. Саннинское, ул. Школьная, д.56».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По мнению Заявителя, нарушен Федеральный закон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 а именно жалоба на действия (бездействия)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Жалоба подана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Информация о поступлении жалобы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размещена в единой информационной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закупке </w:t>
      </w:r>
      <w:r>
        <w:rPr>
          <w:rStyle w:val="CharStyle12"/>
          <w:lang w:val="en-US" w:eastAsia="en-US"/>
        </w:rPr>
        <w:t>№ 0301300339026000001.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  <w:lang w:val="en-US" w:eastAsia="en-US"/>
        </w:rPr>
        <w:t xml:space="preserve">15.04.2026 </w:t>
      </w:r>
      <w:r>
        <w:rPr>
          <w:rStyle w:val="CharStyle12"/>
        </w:rPr>
        <w:t xml:space="preserve">года в единой информационной системе Заказчиком размещено извещение </w:t>
      </w:r>
      <w:r>
        <w:rPr>
          <w:rStyle w:val="CharStyle12"/>
          <w:lang w:val="en-US" w:eastAsia="en-US"/>
        </w:rPr>
        <w:t>№ 0301300339026000001.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— 600 000,00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Срок окончания подачи заявок </w:t>
      </w:r>
      <w:r>
        <w:rPr>
          <w:rStyle w:val="CharStyle12"/>
          <w:lang w:val="en-US" w:eastAsia="en-US"/>
        </w:rPr>
        <w:t>— 23.04.2026.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Заявитель в своей жалобе указывает, что в техническом задании к объекту закупки установлено требование к сроку выполнения работ </w:t>
      </w:r>
      <w:r>
        <w:rPr>
          <w:rStyle w:val="CharStyle12"/>
          <w:lang w:val="en-US" w:eastAsia="en-US"/>
        </w:rPr>
        <w:t xml:space="preserve">30 </w:t>
      </w:r>
      <w:r>
        <w:rPr>
          <w:rStyle w:val="CharStyle12"/>
        </w:rPr>
        <w:t xml:space="preserve">календарных дней с момента заключения контракта, однако в проекте контракта в п. </w:t>
      </w:r>
      <w:r>
        <w:rPr>
          <w:rStyle w:val="CharStyle12"/>
          <w:lang w:val="en-US" w:eastAsia="en-US"/>
        </w:rPr>
        <w:t xml:space="preserve">3.1 </w:t>
      </w:r>
      <w:r>
        <w:rPr>
          <w:rStyle w:val="CharStyle12"/>
        </w:rPr>
        <w:t xml:space="preserve">указан иной срок: Срок поставки и выполнения работ: начало работ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 даты заключения контракта, окончание работ </w:t>
      </w:r>
      <w:r>
        <w:rPr>
          <w:rStyle w:val="CharStyle12"/>
          <w:lang w:val="en-US" w:eastAsia="en-US"/>
        </w:rPr>
        <w:t xml:space="preserve">– 10.08.2026 </w:t>
      </w:r>
      <w:r>
        <w:rPr>
          <w:rStyle w:val="CharStyle12"/>
        </w:rPr>
        <w:t xml:space="preserve">г. что влечет за собой ограничение количества участников закупки. Так же в техническом задании, в нарушении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44-ФЗ, указано требование страны производителя товара что влечет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Некоторые формулировки аукционной документации не позволяют участникам закупки определить соответствие закупаемых товаров установленным заказчиком требований: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В техническом задании указаны Требования к работам по установке товара на объекте, а именно, отделка откосов сэндвич-панелью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мм без указания характеристик товара, вида товара (кровельный, стеновой, фундаментный, металлический, пвх и тд.)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что влечет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В техническом задании указаны Требования к работам по установке товара на объекте, а именно, отлив металлический без указания характеристик товара (толщина металла, ширины изделия, длина изделия и т.д) что влечет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Комиссия Башкортостанского УФАС России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Комиссия), изучив и рассмотрев представленные материалы дела,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rPr>
          <w:sz w:val="30"/>
          <w:szCs w:val="30"/>
        </w:rPr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Закона о контрактной системе, и</w:t>
      </w:r>
      <w:r>
        <w:rPr>
          <w:rStyle w:val="CharStyle12"/>
          <w:sz w:val="30"/>
          <w:szCs w:val="30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Согласно техническому заданию к закупке </w:t>
      </w:r>
      <w:r>
        <w:rPr>
          <w:rStyle w:val="CharStyle12"/>
          <w:lang w:val="en-US" w:eastAsia="en-US"/>
        </w:rPr>
        <w:t xml:space="preserve">№ 0301300339026000001, </w:t>
      </w:r>
      <w:r>
        <w:rPr>
          <w:rStyle w:val="CharStyle12"/>
        </w:rPr>
        <w:t xml:space="preserve">Заказчиком установлены сроки выполнения работ </w:t>
      </w:r>
      <w:r>
        <w:rPr>
          <w:rStyle w:val="CharStyle12"/>
          <w:lang w:val="en-US" w:eastAsia="en-US"/>
        </w:rPr>
        <w:t xml:space="preserve">30 </w:t>
      </w:r>
      <w:r>
        <w:rPr>
          <w:rStyle w:val="CharStyle12"/>
        </w:rPr>
        <w:t>календарных дней с момента заключения контракта.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проекта муниципального контракта к закупке </w:t>
      </w:r>
      <w:r>
        <w:rPr>
          <w:rStyle w:val="CharStyle12"/>
          <w:lang w:val="en-US" w:eastAsia="en-US"/>
        </w:rPr>
        <w:t xml:space="preserve">№ 0301300339026000001, </w:t>
      </w:r>
      <w:r>
        <w:rPr>
          <w:rStyle w:val="CharStyle12"/>
        </w:rPr>
        <w:t xml:space="preserve">сроки. условия выполнения работ. порядок оплаты </w:t>
      </w:r>
      <w:r>
        <w:rPr>
          <w:rStyle w:val="CharStyle12"/>
          <w:lang w:val="en-US" w:eastAsia="en-US"/>
        </w:rPr>
        <w:t xml:space="preserve">3.1 </w:t>
      </w:r>
      <w:r>
        <w:rPr>
          <w:rStyle w:val="CharStyle12"/>
        </w:rPr>
        <w:t xml:space="preserve">Срок поставки и выполнения работ: начало работ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 даты заключения контракта, окончание работ </w:t>
      </w:r>
      <w:r>
        <w:rPr>
          <w:rStyle w:val="CharStyle12"/>
          <w:lang w:val="en-US" w:eastAsia="en-US"/>
        </w:rPr>
        <w:t xml:space="preserve">– 10.08.2026 </w:t>
      </w:r>
      <w:r>
        <w:rPr>
          <w:rStyle w:val="CharStyle12"/>
        </w:rPr>
        <w:t>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В связи с чем данный довод признается 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Согласно техническому заданию к закупке </w:t>
      </w:r>
      <w:r>
        <w:rPr>
          <w:rStyle w:val="CharStyle12"/>
          <w:lang w:val="en-US" w:eastAsia="en-US"/>
        </w:rPr>
        <w:t xml:space="preserve">№ 0301300339026000001, </w:t>
      </w:r>
      <w:r>
        <w:rPr>
          <w:rStyle w:val="CharStyle12"/>
        </w:rPr>
        <w:t>Заказчиком установлены следующие требования к качеству и технические характеристики товара:</w:t>
      </w:r>
    </w:p>
    <w:tbl>
      <w:tblPr>
        <w:tblOverlap w:val="never"/>
        <w:jc w:val="center"/>
        <w:tblLayout w:type="fixed"/>
      </w:tblPr>
      <w:tblGrid>
        <w:gridCol w:w="614"/>
        <w:gridCol w:w="2050"/>
        <w:gridCol w:w="6538"/>
      </w:tblGrid>
      <w:tr>
        <w:trPr>
          <w:trHeight w:val="528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3A3B3B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20" w:after="0" w:line="254" w:lineRule="auto"/>
              <w:ind w:left="18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22"/>
                <w:b/>
                <w:bCs/>
                <w:color w:val="29282A"/>
                <w:sz w:val="19"/>
                <w:szCs w:val="19"/>
              </w:rPr>
              <w:t>Требования к качеству и технические хара ктерп стики товара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3A3B3B"/>
                <w:sz w:val="20"/>
                <w:szCs w:val="20"/>
              </w:rPr>
              <w:t>Тип конструкции: оконные блоки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3A3B3B"/>
                <w:sz w:val="20"/>
                <w:szCs w:val="20"/>
              </w:rPr>
              <w:t>Количество конструкций 14 штук_ Общая площадь 63,5бм2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3A3B3B"/>
                <w:sz w:val="20"/>
                <w:szCs w:val="20"/>
              </w:rPr>
              <w:t xml:space="preserve">Конструкция: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Оконные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блоки из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ПВХ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профилей: многостворчатые, из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поворотных (откидных, поворотно-откидных), в том числе прнналичин створок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глухого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остекления и </w:t>
            </w:r>
            <w:r>
              <w:rPr>
                <w:rStyle w:val="CharStyle22"/>
                <w:color w:val="3A3B3B"/>
                <w:sz w:val="20"/>
                <w:szCs w:val="20"/>
              </w:rPr>
              <w:t>фрамуги.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>Размеры: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 xml:space="preserve">Конструкция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1 - 2270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*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2000- 14 </w:t>
            </w:r>
            <w:r>
              <w:rPr>
                <w:rStyle w:val="CharStyle22"/>
                <w:color w:val="29282A"/>
                <w:sz w:val="20"/>
                <w:szCs w:val="20"/>
              </w:rPr>
              <w:t>штук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3A3B3B"/>
                <w:sz w:val="20"/>
                <w:szCs w:val="20"/>
              </w:rPr>
              <w:t>Заполнение: стеклопакет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 xml:space="preserve">Толщина стеклопакета: двухкамерный стеклопакет толщиной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32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мм Тнп фурнитуры: Повортно-откидная,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глухая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створка, фрамута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Технология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остекления: стоечно-ригельная, рнгель-рнгельная Коэффициент теплопроводности: не менее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0,7 </w:t>
            </w:r>
            <w:r>
              <w:rPr>
                <w:rStyle w:val="CharStyle22"/>
                <w:color w:val="29282A"/>
                <w:sz w:val="20"/>
                <w:szCs w:val="20"/>
              </w:rPr>
              <w:t>м</w:t>
            </w:r>
            <w:r>
              <w:rPr>
                <w:rStyle w:val="CharStyle22"/>
                <w:color w:val="29282A"/>
                <w:sz w:val="20"/>
                <w:szCs w:val="20"/>
                <w:vertAlign w:val="superscript"/>
              </w:rPr>
              <w:t>1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 °C Вт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Звукоизоляция: </w:t>
            </w:r>
            <w:r>
              <w:rPr>
                <w:rStyle w:val="CharStyle22"/>
                <w:color w:val="29282A"/>
                <w:sz w:val="20"/>
                <w:szCs w:val="20"/>
              </w:rPr>
              <w:t>класс "Б"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>Покрытие: полимерное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>Цвет: белый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>Наружная отделка проемов: нащельннк металлический окрашенный Цвет: белый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29282A"/>
                <w:sz w:val="20"/>
                <w:szCs w:val="20"/>
              </w:rPr>
              <w:t xml:space="preserve">Швы монтажных узлов примыканий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окон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к стеновым проемам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необходимо классифицировать и выполнять в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соответствии с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требованиями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ГОСТ </w:t>
            </w:r>
            <w:r>
              <w:rPr>
                <w:rStyle w:val="CharStyle22"/>
                <w:color w:val="3A3B3B"/>
                <w:sz w:val="20"/>
                <w:szCs w:val="20"/>
              </w:rPr>
              <w:t>30971-2012.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color w:val="3A3B3B"/>
                <w:sz w:val="20"/>
                <w:szCs w:val="20"/>
              </w:rPr>
              <w:t xml:space="preserve">Стеклопакеты, должны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отвечать </w:t>
            </w:r>
            <w:r>
              <w:rPr>
                <w:rStyle w:val="CharStyle22"/>
                <w:color w:val="3A3B3B"/>
                <w:sz w:val="20"/>
                <w:szCs w:val="20"/>
              </w:rPr>
              <w:t xml:space="preserve">требованиям </w:t>
            </w:r>
            <w:r>
              <w:rPr>
                <w:rStyle w:val="CharStyle22"/>
                <w:color w:val="29282A"/>
                <w:sz w:val="20"/>
                <w:szCs w:val="20"/>
              </w:rPr>
              <w:t xml:space="preserve">Г ОСТ </w:t>
            </w:r>
            <w:r>
              <w:rPr>
                <w:rStyle w:val="CharStyle22"/>
                <w:color w:val="3A3B3B"/>
                <w:sz w:val="20"/>
                <w:szCs w:val="20"/>
              </w:rPr>
              <w:t>24866-2014.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 xml:space="preserve">Также Заказчиком </w:t>
      </w:r>
      <w:r>
        <w:rPr>
          <w:rStyle w:val="CharStyle12"/>
          <w:u w:val="single"/>
        </w:rPr>
        <w:t>приведены примерные эскизы ок</w:t>
      </w:r>
      <w:r>
        <w:rPr>
          <w:rStyle w:val="CharStyle12"/>
        </w:rPr>
        <w:t>онных блоков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2738120</wp:posOffset>
            </wp:positionH>
            <wp:positionV relativeFrom="paragraph">
              <wp:posOffset>0</wp:posOffset>
            </wp:positionV>
            <wp:extent cx="2438400" cy="24993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8400" cy="2499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Заказчиком в техническом задании указывается что, «Размеры, представленные в описании объекта закупки, ориентировочные. Перед началом изготовления Подрядчиком проводятся замеры по месту поставки. Стоимость услуг по выезду замерщика должна быть включена в стоимость продукции.».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Довод жалобы признается необоснованным.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Учитывая изложенное, Комиссия Башкортостанского УФАС России признает жалобу заявителя частично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В действиях Заказчика, Уполномоченного органа установлены нарушения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Выявленные нарушения содержат признаки административного правонарушения, ответственность за которое предусмотрена 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2"/>
        </w:rPr>
        <w:t xml:space="preserve">На основании вышеизложенного, изучив все представленные материалы в рамках закупочной процедуры и руководствуясь 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Признать жалобу ООО «САМОРЕЗЫЧ» частично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В действиях заказчика установлены нарушения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Обязательное для исполнения предписание в адрес Заказчика не выдавать, в связи с тем, что допущенные нарушение не повлияли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1" w:val="left"/>
        </w:tabs>
        <w:bidi w:val="0"/>
        <w:spacing w:before="0" w:after="200" w:line="240" w:lineRule="auto"/>
        <w:ind w:left="0" w:right="0" w:firstLine="880"/>
        <w:jc w:val="both"/>
      </w:pPr>
      <w:r>
        <w:rPr>
          <w:rStyle w:val="CharStyle12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2"/>
        </w:rPr>
        <w:t>Решение может быть обжаловано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753110" distL="114300" distR="114300" simplePos="0" relativeHeight="125829385" behindDoc="0" locked="0" layoutInCell="1" allowOverlap="1">
                <wp:simplePos x="0" y="0"/>
                <wp:positionH relativeFrom="page">
                  <wp:posOffset>704850</wp:posOffset>
                </wp:positionH>
                <wp:positionV relativeFrom="paragraph">
                  <wp:posOffset>12700</wp:posOffset>
                </wp:positionV>
                <wp:extent cx="1859280" cy="6096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"https://login.consultant.ru/link/?req=doc&amp;base=LAW&amp;n=466154&amp;dst=12373&amp;field=134&amp;date=14.03.2025"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5pt;margin-top:1.pt;width:146.40000000000001pt;height:48.pt;z-index:-125829368;mso-wrap-distance-left:9.pt;mso-wrap-distance-right:9.pt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"https://login.consultant.ru/link/?req=doc&amp;base=LAW&amp;n=466154&amp;dst=12373&amp;field=134&amp;date=14.03.2025" </w:instrText>
                      </w:r>
                      <w:r>
                        <w:fldChar w:fldCharType="separate"/>
                      </w: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109345" distB="635" distL="151130" distR="543560" simplePos="0" relativeHeight="125829387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1122045</wp:posOffset>
                </wp:positionV>
                <wp:extent cx="1393190" cy="25273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Начальник 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99999999999999pt;margin-top:88.350000000000009pt;width:109.7pt;height:19.900000000000002pt;z-index:-125829366;mso-wrap-distance-left:11.9pt;mso-wrap-distance-top:87.350000000000009pt;mso-wrap-distance-right:42.800000000000004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Начальник отдела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</w:rPr>
        <w:t>Арсланов А.А.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rStyle w:val="CharStyle12"/>
        </w:rPr>
        <w:t>Исламов И.Т.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12"/>
        </w:rPr>
        <w:t>Шакиров Д.Р.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А.А. Арсланов</w:t>
      </w:r>
    </w:p>
    <w:p>
      <w:pPr>
        <w:widowControl w:val="0"/>
        <w:spacing w:line="1" w:lineRule="exact"/>
      </w:pPr>
      <w:r>
        <w:drawing>
          <wp:anchor distT="0" distB="0" distL="0" distR="1993265" simplePos="0" relativeHeight="125829389" behindDoc="0" locked="0" layoutInCell="1" allowOverlap="1">
            <wp:simplePos x="0" y="0"/>
            <wp:positionH relativeFrom="page">
              <wp:posOffset>2533650</wp:posOffset>
            </wp:positionH>
            <wp:positionV relativeFrom="paragraph">
              <wp:posOffset>0</wp:posOffset>
            </wp:positionV>
            <wp:extent cx="389890" cy="59118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3045460</wp:posOffset>
                </wp:positionH>
                <wp:positionV relativeFrom="paragraph">
                  <wp:posOffset>448310</wp:posOffset>
                </wp:positionV>
                <wp:extent cx="1426210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4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80000000000001pt;margin-top:35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4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2997200</wp:posOffset>
                </wp:positionH>
                <wp:positionV relativeFrom="paragraph">
                  <wp:posOffset>97790</wp:posOffset>
                </wp:positionV>
                <wp:extent cx="1917065" cy="2832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6.pt;margin-top:7.7000000000000002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Арсланов Анвар Аслямович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>Сертификат № 43А147Е3721ААСВА71</w:t>
      </w:r>
      <w:r>
        <w:rPr>
          <w:rStyle w:val="CharStyle28"/>
          <w:lang w:val="en-US" w:eastAsia="en-US"/>
        </w:rPr>
        <w:t>B8F97D3893AF69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35353"/>
        </w:rPr>
        <w:t xml:space="preserve">26.12.2025 по </w:t>
      </w:r>
      <w:r>
        <w:rPr>
          <w:rStyle w:val="CharStyle28"/>
        </w:rPr>
        <w:t>21.03.2027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Исп.Исламов И.Т. тел.(347) 216-33-54</w:t>
      </w:r>
    </w:p>
    <w:sectPr>
      <w:footerReference w:type="default" r:id="rId13"/>
      <w:footerReference w:type="first" r:id="rId14"/>
      <w:footnotePr>
        <w:pos w:val="pageBottom"/>
        <w:numFmt w:val="decimal"/>
        <w:numRestart w:val="continuous"/>
      </w:footnotePr>
      <w:pgSz w:w="11900" w:h="16840"/>
      <w:pgMar w:top="985" w:right="539" w:bottom="1179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10008870</wp:posOffset>
              </wp:positionV>
              <wp:extent cx="655320" cy="1282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2026-5118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600000000000001pt;margin-top:788.10000000000002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2026-5118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10008870</wp:posOffset>
              </wp:positionV>
              <wp:extent cx="655320" cy="12827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  <w:lang w:val="ru-RU" w:eastAsia="ru-RU"/>
                            </w:rPr>
                            <w:t>2026-5118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600000000000001pt;margin-top:788.10000000000002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  <w:lang w:val="ru-RU" w:eastAsia="ru-RU"/>
                      </w:rPr>
                      <w:t>2026-5118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82A"/>
      <w:sz w:val="12"/>
      <w:szCs w:val="12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A3B3B"/>
      <w:sz w:val="14"/>
      <w:szCs w:val="14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82A"/>
      <w:sz w:val="12"/>
      <w:szCs w:val="12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spacing w:after="35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B3B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