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9"/>
        <w:keepNext/>
        <w:keepLines/>
        <w:widowControl w:val="0"/>
        <w:shd w:val="clear" w:color="auto" w:fill="auto"/>
        <w:tabs>
          <w:tab w:pos="2398" w:val="left"/>
        </w:tabs>
        <w:bidi w:val="0"/>
        <w:spacing w:before="0" w:after="0" w:line="240" w:lineRule="auto"/>
        <w:ind w:left="0" w:right="0"/>
        <w:jc w:val="left"/>
      </w:pPr>
      <w:r>
        <w:fldChar w:fldCharType="begin"/>
      </w:r>
      <w:r>
        <w:rPr/>
        <w:instrText> HYPERLINK "file://f207ca94-a13c-4ba0-b72d-f018c9eed8f1/" </w:instrText>
      </w:r>
      <w:r>
        <w:fldChar w:fldCharType="separate"/>
      </w:r>
      <w:bookmarkStart w:id="0" w:name="bookmark0"/>
      <w:r>
        <w:rPr>
          <w:rStyle w:val="CharStyle10"/>
        </w:rPr>
        <w:t>05.05.2026</w:t>
      </w:r>
      <w:r>
        <w:fldChar w:fldCharType="end"/>
      </w:r>
      <w:r>
        <w:rPr>
          <w:rStyle w:val="CharStyle10"/>
        </w:rPr>
        <w:tab/>
        <w:t>№ 18952/26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ГБУЗ «ГКБ им. Ф.И. Иноземцева ДЗМ» </w:t>
      </w:r>
      <w:r>
        <w:fldChar w:fldCharType="begin"/>
      </w:r>
      <w:r>
        <w:rPr/>
        <w:instrText> HYPERLINK "mailto:gkb36@zdrav.mos.ru" </w:instrText>
      </w:r>
      <w:r>
        <w:fldChar w:fldCharType="separate"/>
      </w:r>
      <w:r>
        <w:rPr>
          <w:rStyle w:val="CharStyle12"/>
          <w:lang w:val="en-US" w:eastAsia="en-US"/>
        </w:rPr>
        <w:t>gkb36@zdrav.mos.ru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ООО «ВЫСОТА» </w:t>
      </w:r>
      <w:r>
        <w:fldChar w:fldCharType="begin"/>
      </w:r>
      <w:r>
        <w:rPr/>
        <w:instrText> HYPERLINK "mailto:v-med2025@yandex.ru" </w:instrText>
      </w:r>
      <w:r>
        <w:fldChar w:fldCharType="separate"/>
      </w:r>
      <w:r>
        <w:rPr>
          <w:rStyle w:val="CharStyle12"/>
          <w:lang w:val="en-US" w:eastAsia="en-US"/>
        </w:rPr>
        <w:t>v-med2025@yandex.ru</w:t>
      </w:r>
      <w:r>
        <w:fldChar w:fldCharType="end"/>
      </w:r>
    </w:p>
    <w:p>
      <w:pPr>
        <w:pStyle w:val="Style11"/>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684" w:bottom="708" w:left="713" w:header="0" w:footer="3" w:gutter="0"/>
          <w:pgNumType w:start="1"/>
          <w:cols w:num="2" w:space="720" w:equalWidth="0">
            <w:col w:w="4296" w:space="1397"/>
            <w:col w:w="4810"/>
          </w:cols>
          <w:noEndnote/>
          <w:titlePg/>
          <w:rtlGutter w:val="0"/>
          <w:docGrid w:linePitch="360"/>
        </w:sectPr>
      </w:pPr>
      <w:r>
        <w:rPr>
          <w:rStyle w:val="CharStyle12"/>
        </w:rPr>
        <w:t xml:space="preserve">АО«ЕЭТП» </w:t>
      </w:r>
      <w:r>
        <w:fldChar w:fldCharType="begin"/>
      </w:r>
      <w:r>
        <w:rPr/>
        <w:instrText> HYPERLINK "mailto:ko@roseltorg.ru" </w:instrText>
      </w:r>
      <w:r>
        <w:fldChar w:fldCharType="separate"/>
      </w:r>
      <w:r>
        <w:rPr>
          <w:rStyle w:val="CharStyle12"/>
          <w:lang w:val="en-US" w:eastAsia="en-US"/>
        </w:rPr>
        <w:t>ko@roseltorg.ru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32" w:right="0" w:bottom="1098"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9586"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077/06/105-5351/2026 </w:t>
      </w:r>
      <w:r>
        <w:rPr>
          <w:rStyle w:val="CharStyle12"/>
          <w:b/>
          <w:bCs/>
        </w:rPr>
        <w:t>о нарушении</w:t>
        <w:br/>
        <w:t>законодательства о контрактной системе</w:t>
        <w:br/>
      </w:r>
      <w:r>
        <w:rPr>
          <w:rStyle w:val="CharStyle12"/>
          <w:b/>
          <w:bCs/>
          <w:lang w:val="en-US" w:eastAsia="en-US"/>
        </w:rPr>
        <w:t>29.04.2026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Хлебниковой,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ООО «ВЫСОТА»: И.В. Билевич (по доверенности </w:t>
      </w:r>
      <w:r>
        <w:rPr>
          <w:rStyle w:val="CharStyle12"/>
          <w:lang w:val="en-US" w:eastAsia="en-US"/>
        </w:rPr>
        <w:t xml:space="preserve">№ </w:t>
      </w:r>
      <w:r>
        <w:rPr>
          <w:rStyle w:val="CharStyle12"/>
        </w:rPr>
        <w:t xml:space="preserve">б/н от </w:t>
      </w:r>
      <w:r>
        <w:rPr>
          <w:rStyle w:val="CharStyle12"/>
          <w:lang w:val="en-US" w:eastAsia="en-US"/>
        </w:rPr>
        <w:t>15.01.2026);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ГБУЗ «ГКБ им. Ф.И. Иноземцева ДЗМ»: М.А. Моисеевой (по доверенности </w:t>
      </w:r>
      <w:r>
        <w:rPr>
          <w:rStyle w:val="CharStyle12"/>
          <w:lang w:val="en-US" w:eastAsia="en-US"/>
        </w:rPr>
        <w:t xml:space="preserve">№ 4/2026 </w:t>
      </w:r>
      <w:r>
        <w:rPr>
          <w:rStyle w:val="CharStyle12"/>
        </w:rPr>
        <w:t xml:space="preserve">от </w:t>
      </w:r>
      <w:r>
        <w:rPr>
          <w:rStyle w:val="CharStyle12"/>
          <w:lang w:val="en-US" w:eastAsia="en-US"/>
        </w:rPr>
        <w:t xml:space="preserve">23.01.2026), </w:t>
      </w:r>
      <w:r>
        <w:rPr>
          <w:rStyle w:val="CharStyle12"/>
        </w:rPr>
        <w:t xml:space="preserve">М.А. Федоренко (по доверенности </w:t>
      </w:r>
      <w:r>
        <w:rPr>
          <w:rStyle w:val="CharStyle12"/>
          <w:lang w:val="en-US" w:eastAsia="en-US"/>
        </w:rPr>
        <w:t xml:space="preserve">№ 7/26 </w:t>
      </w:r>
      <w:r>
        <w:rPr>
          <w:rStyle w:val="CharStyle12"/>
        </w:rPr>
        <w:t xml:space="preserve">от </w:t>
      </w:r>
      <w:r>
        <w:rPr>
          <w:rStyle w:val="CharStyle12"/>
          <w:lang w:val="en-US" w:eastAsia="en-US"/>
        </w:rPr>
        <w:t>12.01.2026);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«ВЫСОТА» (далее </w:t>
      </w:r>
      <w:r>
        <w:rPr>
          <w:rStyle w:val="CharStyle12"/>
          <w:lang w:val="en-US" w:eastAsia="en-US"/>
        </w:rPr>
        <w:t xml:space="preserve">— </w:t>
      </w:r>
      <w:r>
        <w:rPr>
          <w:rStyle w:val="CharStyle12"/>
        </w:rPr>
        <w:t xml:space="preserve">Заявитель) на действия ГБУЗ «ГКБ им. Ф.И. Иноземцева ДЗМ»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инструментов для электрохирургии (закупка </w:t>
      </w:r>
      <w:r>
        <w:rPr>
          <w:rStyle w:val="CharStyle12"/>
          <w:lang w:val="en-US" w:eastAsia="en-US"/>
        </w:rPr>
        <w:t xml:space="preserve">2) </w:t>
      </w:r>
      <w:r>
        <w:rPr>
          <w:rStyle w:val="CharStyle12"/>
        </w:rPr>
        <w:t>(среди субъектов малого предпринимательства и социально</w:t>
        <w:softHyphen/>
        <w:t xml:space="preserve">ориентированных некоммерческих организаций) для нужд ГБУЗ «ГКБ им. Ф.И. Иноземцева ДЗМ» (Закупка№ </w:t>
      </w:r>
      <w:r>
        <w:rPr>
          <w:rStyle w:val="CharStyle12"/>
          <w:lang w:val="en-US" w:eastAsia="en-US"/>
        </w:rPr>
        <w:t xml:space="preserve">0373200052326000385) </w:t>
      </w:r>
      <w:r>
        <w:rPr>
          <w:rStyle w:val="CharStyle12"/>
        </w:rPr>
        <w:t xml:space="preserve">(далее </w:t>
      </w:r>
      <w:r>
        <w:rPr>
          <w:rStyle w:val="CharStyle12"/>
          <w:lang w:val="en-US" w:eastAsia="en-US"/>
        </w:rPr>
        <w:t xml:space="preserve">– </w:t>
      </w:r>
      <w:r>
        <w:rPr>
          <w:rStyle w:val="CharStyle12"/>
        </w:rPr>
        <w:t>аукцион, закупка) в</w:t>
      </w:r>
    </w:p>
    <w:p>
      <w:pPr>
        <w:widowControl w:val="0"/>
        <w:spacing w:after="596" w:line="1" w:lineRule="exact"/>
      </w:pPr>
      <w:r>
        <w:drawing>
          <wp:anchor distT="0" distB="0" distL="0" distR="0" simplePos="0" relativeHeight="62914694" behindDoc="1" locked="0" layoutInCell="1" allowOverlap="1">
            <wp:simplePos x="0" y="0"/>
            <wp:positionH relativeFrom="page">
              <wp:posOffset>325120</wp:posOffset>
            </wp:positionH>
            <wp:positionV relativeFrom="paragraph">
              <wp:posOffset>88900</wp:posOffset>
            </wp:positionV>
            <wp:extent cx="1511935"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780" w:line="240" w:lineRule="auto"/>
        <w:ind w:left="0" w:right="0" w:firstLine="0"/>
        <w:jc w:val="both"/>
      </w:pPr>
      <w:r>
        <w:rPr>
          <w:rStyle w:val="CharStyle12"/>
        </w:rPr>
        <w:t xml:space="preserve">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Московское УФАС России поступила жалоба Заявителя на действия Заказчика при проведении аукциона.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заседание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результате рассмотрения жалобы, рассмотрев представленные документы и сведения,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п.1 ч.2 ст.42 Закона о контрактной системе извещение об осуществлении закупки должно содержать описание объекта закупки в соответствии со ст.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1"/>
        </w:numPr>
        <w:shd w:val="clear" w:color="auto" w:fill="auto"/>
        <w:tabs>
          <w:tab w:pos="1105" w:val="left"/>
        </w:tabs>
        <w:bidi w:val="0"/>
        <w:spacing w:before="0" w:after="0" w:line="240" w:lineRule="auto"/>
        <w:ind w:left="0" w:right="0" w:firstLine="720"/>
        <w:jc w:val="both"/>
      </w:pPr>
      <w:r>
        <w:rPr>
          <w:rStyle w:val="CharStyle12"/>
        </w:rPr>
        <w:t>сопровождение такого указания словами «или эквивалент»;</w:t>
      </w:r>
    </w:p>
    <w:p>
      <w:pPr>
        <w:pStyle w:val="Style11"/>
        <w:keepNext w:val="0"/>
        <w:keepLines w:val="0"/>
        <w:widowControl w:val="0"/>
        <w:numPr>
          <w:ilvl w:val="0"/>
          <w:numId w:val="1"/>
        </w:numPr>
        <w:shd w:val="clear" w:color="auto" w:fill="auto"/>
        <w:tabs>
          <w:tab w:pos="1125" w:val="left"/>
        </w:tabs>
        <w:bidi w:val="0"/>
        <w:spacing w:before="0" w:after="0" w:line="240" w:lineRule="auto"/>
        <w:ind w:left="0" w:right="0" w:firstLine="72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1"/>
        </w:numPr>
        <w:shd w:val="clear" w:color="auto" w:fill="auto"/>
        <w:tabs>
          <w:tab w:pos="1110" w:val="left"/>
        </w:tabs>
        <w:bidi w:val="0"/>
        <w:spacing w:before="0" w:after="0" w:line="240" w:lineRule="auto"/>
        <w:ind w:left="0" w:right="0" w:firstLine="72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1"/>
        </w:numPr>
        <w:shd w:val="clear" w:color="auto" w:fill="auto"/>
        <w:tabs>
          <w:tab w:pos="1096" w:val="left"/>
        </w:tabs>
        <w:bidi w:val="0"/>
        <w:spacing w:before="0" w:after="0" w:line="240" w:lineRule="auto"/>
        <w:ind w:left="0" w:right="0" w:firstLine="72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500" w:line="286" w:lineRule="auto"/>
        <w:ind w:left="0" w:right="0" w:firstLine="720"/>
        <w:jc w:val="both"/>
        <w:rPr>
          <w:sz w:val="24"/>
          <w:szCs w:val="24"/>
        </w:rPr>
        <w:sectPr>
          <w:footnotePr>
            <w:pos w:val="pageBottom"/>
            <w:numFmt w:val="decimal"/>
            <w:numRestart w:val="continuous"/>
          </w:footnotePr>
          <w:type w:val="continuous"/>
          <w:pgSz w:w="11900" w:h="16840"/>
          <w:pgMar w:top="1232" w:right="531" w:bottom="1098" w:left="443" w:header="0" w:footer="3" w:gutter="0"/>
          <w:cols w:space="720"/>
          <w:noEndnote/>
          <w:rtlGutter w:val="0"/>
          <w:docGrid w:linePitch="360"/>
        </w:sectPr>
      </w:pPr>
      <w:r>
        <w:rPr>
          <w:rStyle w:val="CharStyle12"/>
        </w:rPr>
        <w:t xml:space="preserve">Согласно ч.2 ст.33 Закона о контрактной системе описание объекта закупки в соответствии с требованиями, указанными в ч. </w:t>
      </w:r>
      <w:r>
        <w:rPr>
          <w:rStyle w:val="CharStyle12"/>
          <w:lang w:val="en-US" w:eastAsia="en-US"/>
        </w:rPr>
        <w:t xml:space="preserve">1 </w:t>
      </w:r>
      <w:r>
        <w:rPr>
          <w:rStyle w:val="CharStyle12"/>
        </w:rPr>
        <w:t xml:space="preserve">ст. </w:t>
      </w:r>
      <w:r>
        <w:rPr>
          <w:rStyle w:val="CharStyle12"/>
          <w:lang w:val="en-US" w:eastAsia="en-US"/>
        </w:rPr>
        <w:t xml:space="preserve">33 </w:t>
      </w:r>
      <w:r>
        <w:rPr>
          <w:rStyle w:val="CharStyle12"/>
        </w:rPr>
        <w:t xml:space="preserve">Закона о контрактной системе должно содержать показатели, позволяющие определить соответствие закупаемых </w:t>
      </w:r>
      <w:r>
        <w:rPr>
          <w:rStyle w:val="CharStyle12"/>
          <w:sz w:val="24"/>
          <w:szCs w:val="24"/>
          <w:lang w:val="en-US" w:eastAsia="en-US"/>
        </w:rPr>
        <w:t>2026-21981</w:t>
      </w:r>
    </w:p>
    <w:p>
      <w:pPr>
        <w:pStyle w:val="Style11"/>
        <w:keepNext w:val="0"/>
        <w:keepLines w:val="0"/>
        <w:widowControl w:val="0"/>
        <w:shd w:val="clear" w:color="auto" w:fill="auto"/>
        <w:bidi w:val="0"/>
        <w:spacing w:before="0" w:after="0" w:line="240" w:lineRule="auto"/>
        <w:ind w:left="0" w:right="0" w:firstLine="0"/>
        <w:jc w:val="both"/>
      </w:pPr>
      <w:r>
        <w:rPr>
          <w:rStyle w:val="CharStyle12"/>
        </w:rPr>
        <w:t>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установлено, что согласно описанию объекта закупки Заказчиком установлены требования к закупаемым товарам пп.1-3 Держатель/наконечник ультразвуковой хирургической системы для мягких тканей, одноразового использования, КТРУ </w:t>
      </w:r>
      <w:r>
        <w:rPr>
          <w:rStyle w:val="CharStyle12"/>
          <w:lang w:val="en-US" w:eastAsia="en-US"/>
        </w:rPr>
        <w:t>32.50.50.190-00000667.</w:t>
      </w:r>
    </w:p>
    <w:p>
      <w:pPr>
        <w:pStyle w:val="Style11"/>
        <w:keepNext w:val="0"/>
        <w:keepLines w:val="0"/>
        <w:widowControl w:val="0"/>
        <w:numPr>
          <w:ilvl w:val="0"/>
          <w:numId w:val="3"/>
        </w:numPr>
        <w:shd w:val="clear" w:color="auto" w:fill="auto"/>
        <w:tabs>
          <w:tab w:pos="1138" w:val="left"/>
        </w:tabs>
        <w:bidi w:val="0"/>
        <w:spacing w:before="0" w:after="0" w:line="240" w:lineRule="auto"/>
        <w:ind w:left="0" w:right="0" w:firstLine="700"/>
        <w:jc w:val="both"/>
      </w:pPr>
      <w:r>
        <w:rPr>
          <w:rStyle w:val="CharStyle12"/>
        </w:rPr>
        <w:t xml:space="preserve">Согласно доводам жалобы в </w:t>
      </w:r>
      <w:r>
        <w:rPr>
          <w:rStyle w:val="CharStyle12"/>
          <w:lang w:val="en-US" w:eastAsia="en-US"/>
        </w:rPr>
        <w:t xml:space="preserve">3 </w:t>
      </w:r>
      <w:r>
        <w:rPr>
          <w:rStyle w:val="CharStyle12"/>
        </w:rPr>
        <w:t xml:space="preserve">позиции в графе «Знаки обслуживания, фирменные наименования, патенты, полезные модели, промышленные образцы» указано «Совместим с аппаратом </w:t>
      </w:r>
      <w:r>
        <w:rPr>
          <w:rStyle w:val="CharStyle12"/>
          <w:lang w:val="en-US" w:eastAsia="en-US"/>
        </w:rPr>
        <w:t xml:space="preserve">BOWA», </w:t>
      </w:r>
      <w:r>
        <w:rPr>
          <w:rStyle w:val="CharStyle12"/>
        </w:rPr>
        <w:t>что не является знаком обслуживания.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ч. </w:t>
      </w:r>
      <w:r>
        <w:rPr>
          <w:rStyle w:val="CharStyle12"/>
          <w:lang w:val="en-US" w:eastAsia="en-US"/>
        </w:rPr>
        <w:t xml:space="preserve">1 </w:t>
      </w:r>
      <w:r>
        <w:rPr>
          <w:rStyle w:val="CharStyle12"/>
        </w:rPr>
        <w:t xml:space="preserve">ст. </w:t>
      </w:r>
      <w:r>
        <w:rPr>
          <w:rStyle w:val="CharStyle12"/>
          <w:lang w:val="en-US" w:eastAsia="en-US"/>
        </w:rPr>
        <w:t xml:space="preserve">106 </w:t>
      </w:r>
      <w:r>
        <w:rPr>
          <w:rStyle w:val="CharStyle12"/>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заседании Комиссии Управления представитель Заказчика пояснил, что описание объекта закупки сформировано Заказчиком в структурированном виде, что соответствует п. </w:t>
      </w:r>
      <w:r>
        <w:rPr>
          <w:rStyle w:val="CharStyle12"/>
          <w:lang w:val="en-US" w:eastAsia="en-US"/>
        </w:rPr>
        <w:t xml:space="preserve">7 </w:t>
      </w:r>
      <w:r>
        <w:rPr>
          <w:rStyle w:val="CharStyle12"/>
        </w:rPr>
        <w:t xml:space="preserve">Правил использования каталога товаров, работ, услуг, утвержденными Постановлением Правительства РФ от </w:t>
      </w:r>
      <w:r>
        <w:rPr>
          <w:rStyle w:val="CharStyle12"/>
          <w:lang w:val="en-US" w:eastAsia="en-US"/>
        </w:rPr>
        <w:t xml:space="preserve">08.02.2017 № 145 </w:t>
      </w:r>
      <w:r>
        <w:rPr>
          <w:rStyle w:val="CharStyle12"/>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Структурированный вид извещения формируется путем заполнения экранных форм веб-интерфейса ЕИС. В нем указываются характеристики, содержащиеся в позиции КТРУ, а также дополнительная информация. Если в КТРУ нет позиции, характеристики заполняются в соответствии со ст. </w:t>
      </w:r>
      <w:r>
        <w:rPr>
          <w:rStyle w:val="CharStyle12"/>
          <w:lang w:val="en-US" w:eastAsia="en-US"/>
        </w:rPr>
        <w:t xml:space="preserve">33 </w:t>
      </w:r>
      <w:r>
        <w:rPr>
          <w:rStyle w:val="CharStyle12"/>
        </w:rPr>
        <w:t>Закна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связи с тем, что в позиции КТРУ для данного товара отсутствовала характеристика совместимости с имеющимся у Заказчика оборудованием, Заказчик самостоятельно включил указанную характеристику в описание объекта закупки в указанную выше графу «Знаки обслуживания, фирменные наименования, патенты, полезные модели, промышленные образцы» как наиболее подходящую (поскольку отдельная графа «товарный знак» или иная аналогичная в интерфейсе структурированного описания объекта закупки в ЕИС отсутствует). Совместимость закупаемого товара с конкретным аппаратом, имеющимся в наличии у Заказчика </w:t>
      </w:r>
      <w:r>
        <w:rPr>
          <w:rStyle w:val="CharStyle12"/>
          <w:lang w:val="en-US" w:eastAsia="en-US"/>
        </w:rPr>
        <w:t xml:space="preserve">- </w:t>
      </w:r>
      <w:r>
        <w:rPr>
          <w:rStyle w:val="CharStyle12"/>
        </w:rPr>
        <w:t>ключевой параметр товара. Отсутствие данной характеристики может повлечь поставку несовместимого товара, который не будет работать с оборудованием Заказчика или приведет к поломке дорогостоящего оборудования и оказанию некачественной медицинской помощи.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тем, Комиссией Управления определено, что в извещении Заказчиком в разделе «Знаки обслуживания, фирменные наименования, патенты, полезные модели, промышленные образцы» неправомерно отражена информация о совместимости с аппаратом </w:t>
      </w:r>
      <w:r>
        <w:rPr>
          <w:rStyle w:val="CharStyle12"/>
          <w:lang w:val="en-US" w:eastAsia="en-US"/>
        </w:rPr>
        <w:t>BOWA.</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Отражение Заказчиком в разделе «Знаки обслуживания, фирменные наименования, патенты, полезные модели, промышленные образцы» какой-либо информации и требований априори является неправомерным, поскольку данный раздел подразумевает указание в таком разделе исключительно информации о необходимых знаках обслуживания, фирменных наименованиях, патентах, полезных моделях, промышленных образцах, к которым «Совместим с аппаратом </w:t>
      </w:r>
      <w:r>
        <w:rPr>
          <w:rStyle w:val="CharStyle12"/>
          <w:lang w:val="en-US" w:eastAsia="en-US"/>
        </w:rPr>
        <w:t xml:space="preserve">BOWA» </w:t>
      </w:r>
      <w:r>
        <w:rPr>
          <w:rStyle w:val="CharStyle12"/>
        </w:rPr>
        <w:t>очевидно не относится.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Комиссия Управления приходит к выводу, что извещение сформировано Заказчиком ненадлежащим образом.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таких обстоятельствах Комиссия Управления приходит к выводу о нарушении Заказчиком п.1 ч.1 ст.33 Закона о контрактной системе при формировании раздела извещения «Знаки обслуживания, фирменные наименования, патенты, полезные модели, промышленные образцы» описания объекта закупки,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1"/>
        <w:keepNext w:val="0"/>
        <w:keepLines w:val="0"/>
        <w:widowControl w:val="0"/>
        <w:numPr>
          <w:ilvl w:val="0"/>
          <w:numId w:val="3"/>
        </w:numPr>
        <w:shd w:val="clear" w:color="auto" w:fill="auto"/>
        <w:tabs>
          <w:tab w:pos="1138" w:val="left"/>
        </w:tabs>
        <w:bidi w:val="0"/>
        <w:spacing w:before="0" w:after="0" w:line="240" w:lineRule="auto"/>
        <w:ind w:left="0" w:right="0" w:firstLine="720"/>
        <w:jc w:val="both"/>
      </w:pPr>
      <w:r>
        <w:rPr>
          <w:rStyle w:val="CharStyle12"/>
        </w:rPr>
        <w:t xml:space="preserve">Согласно доводам жалобы поставка товара по п. </w:t>
      </w:r>
      <w:r>
        <w:rPr>
          <w:rStyle w:val="CharStyle12"/>
          <w:lang w:val="en-US" w:eastAsia="en-US"/>
        </w:rPr>
        <w:t xml:space="preserve">3 </w:t>
      </w:r>
      <w:r>
        <w:rPr>
          <w:rStyle w:val="CharStyle12"/>
        </w:rPr>
        <w:t xml:space="preserve">«Держатель/наконечник ультразвуковой хирургической системы для мягких тканей, одноразового использования» ограничена одним производителем </w:t>
      </w:r>
      <w:r>
        <w:rPr>
          <w:rStyle w:val="CharStyle12"/>
          <w:lang w:val="en-US" w:eastAsia="en-US"/>
        </w:rPr>
        <w:t xml:space="preserve">– SRA Developments Ltd </w:t>
      </w:r>
      <w:r>
        <w:rPr>
          <w:rStyle w:val="CharStyle12"/>
        </w:rPr>
        <w:t>(ЭсАрЭй Девелопментс Лтд) (Бова).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пп.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закупаются «Держатель/наконечник ультразвуковой хирургической системы для мягких тканей, одноразового использования» и указано требование «Совместимость Генератор электрохирургический, ультразвуковой </w:t>
      </w:r>
      <w:r>
        <w:rPr>
          <w:rStyle w:val="CharStyle12"/>
          <w:lang w:val="en-US" w:eastAsia="en-US"/>
        </w:rPr>
        <w:t xml:space="preserve">G11» </w:t>
      </w:r>
      <w:r>
        <w:rPr>
          <w:rStyle w:val="CharStyle12"/>
        </w:rPr>
        <w:t xml:space="preserve">производителем генератора </w:t>
      </w:r>
      <w:r>
        <w:rPr>
          <w:rStyle w:val="CharStyle12"/>
          <w:lang w:val="en-US" w:eastAsia="en-US"/>
        </w:rPr>
        <w:t xml:space="preserve">G11 </w:t>
      </w:r>
      <w:r>
        <w:rPr>
          <w:rStyle w:val="CharStyle12"/>
        </w:rPr>
        <w:t>является Этикон Эндо-Серджери, Эл- Эл-Си.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 по мнению Заявителя, по позиции </w:t>
      </w:r>
      <w:r>
        <w:rPr>
          <w:rStyle w:val="CharStyle12"/>
          <w:lang w:val="en-US" w:eastAsia="en-US"/>
        </w:rPr>
        <w:t xml:space="preserve">1 </w:t>
      </w:r>
      <w:r>
        <w:rPr>
          <w:rStyle w:val="CharStyle12"/>
        </w:rPr>
        <w:t xml:space="preserve">возможна поставка двух производителей Этикон Эндо-Серджери, Эл- Эл-Си и </w:t>
      </w:r>
      <w:r>
        <w:rPr>
          <w:rStyle w:val="CharStyle12"/>
          <w:lang w:val="en-US" w:eastAsia="en-US"/>
        </w:rPr>
        <w:t xml:space="preserve">LeadSurgical Medical Technology Co., Ltd. </w:t>
      </w:r>
      <w:r>
        <w:rPr>
          <w:rStyle w:val="CharStyle12"/>
        </w:rPr>
        <w:t xml:space="preserve">(ЛидСёрджикал Медикал Текнолоджи Ко., Лтд.), однако для п. </w:t>
      </w:r>
      <w:r>
        <w:rPr>
          <w:rStyle w:val="CharStyle12"/>
          <w:lang w:val="en-US" w:eastAsia="en-US"/>
        </w:rPr>
        <w:t xml:space="preserve">1 </w:t>
      </w:r>
      <w:r>
        <w:rPr>
          <w:rStyle w:val="CharStyle12"/>
        </w:rPr>
        <w:t xml:space="preserve">по описанию отсутствуют инструменты у производителя Рич Сёрджлжал, Инк, с которым прописана совместимость с генератором </w:t>
      </w:r>
      <w:r>
        <w:rPr>
          <w:rStyle w:val="CharStyle12"/>
          <w:lang w:val="en-US" w:eastAsia="en-US"/>
        </w:rPr>
        <w:t>G11.</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 </w:t>
      </w:r>
      <w:r>
        <w:rPr>
          <w:rStyle w:val="CharStyle12"/>
          <w:lang w:val="en-US" w:eastAsia="en-US"/>
        </w:rPr>
        <w:t xml:space="preserve">2 </w:t>
      </w:r>
      <w:r>
        <w:rPr>
          <w:rStyle w:val="CharStyle12"/>
        </w:rPr>
        <w:t xml:space="preserve">возможна поставка трех производителей Этикон Эндо-Серджери, Эл- Эл-Си, </w:t>
      </w:r>
      <w:r>
        <w:rPr>
          <w:rStyle w:val="CharStyle12"/>
          <w:lang w:val="en-US" w:eastAsia="en-US"/>
        </w:rPr>
        <w:t xml:space="preserve">LeadSurgical Medical Technology Co., Ltd. </w:t>
      </w:r>
      <w:r>
        <w:rPr>
          <w:rStyle w:val="CharStyle12"/>
        </w:rPr>
        <w:t>(ЛидСёрджикал Медикал Текнолоджи Ко., Лтд.) и Рич Сёрджлжал, Инк.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Поставка других производителей невозможна, так как они не будут иметь совместимость с товарами Заказчика.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заседании Комиссии Управления представитель Заказчика пояснил, что характеристика совместимости поставляемого ультразвукового инструмента с имеющимся в наличии у Заказчика ультразвуковом аппаратом </w:t>
      </w:r>
      <w:r>
        <w:rPr>
          <w:rStyle w:val="CharStyle12"/>
          <w:lang w:val="en-US" w:eastAsia="en-US"/>
        </w:rPr>
        <w:t xml:space="preserve">BOWA </w:t>
      </w:r>
      <w:r>
        <w:rPr>
          <w:rStyle w:val="CharStyle12"/>
        </w:rPr>
        <w:t>обусловлена необходимостью бесперебойной работы оборудования Заказчика и оказания беспрерывной качественной медицинской помощи.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Управления, считает также необходимым отметить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ч. </w:t>
      </w:r>
      <w:r>
        <w:rPr>
          <w:rStyle w:val="CharStyle12"/>
          <w:lang w:val="en-US" w:eastAsia="en-US"/>
        </w:rPr>
        <w:t xml:space="preserve">3 </w:t>
      </w:r>
      <w:r>
        <w:rPr>
          <w:rStyle w:val="CharStyle12"/>
        </w:rPr>
        <w:t xml:space="preserve">ст. </w:t>
      </w:r>
      <w:r>
        <w:rPr>
          <w:rStyle w:val="CharStyle12"/>
          <w:lang w:val="en-US" w:eastAsia="en-US"/>
        </w:rPr>
        <w:t xml:space="preserve">38 </w:t>
      </w:r>
      <w:r>
        <w:rPr>
          <w:rStyle w:val="CharStyle12"/>
        </w:rPr>
        <w:t>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w:t>
      </w:r>
    </w:p>
    <w:p>
      <w:pPr>
        <w:pStyle w:val="Style11"/>
        <w:keepNext w:val="0"/>
        <w:keepLines w:val="0"/>
        <w:widowControl w:val="0"/>
        <w:shd w:val="clear" w:color="auto" w:fill="auto"/>
        <w:bidi w:val="0"/>
        <w:spacing w:before="0" w:after="0" w:line="254" w:lineRule="auto"/>
        <w:ind w:left="0" w:right="0" w:firstLine="0"/>
        <w:jc w:val="both"/>
      </w:pPr>
      <w:r>
        <w:rPr>
          <w:rStyle w:val="CharStyle12"/>
        </w:rPr>
        <w:t>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Согласно ч. </w:t>
      </w:r>
      <w:r>
        <w:rPr>
          <w:rStyle w:val="CharStyle12"/>
          <w:lang w:val="en-US" w:eastAsia="en-US"/>
        </w:rPr>
        <w:t xml:space="preserve">4 </w:t>
      </w:r>
      <w:r>
        <w:rPr>
          <w:rStyle w:val="CharStyle12"/>
        </w:rPr>
        <w:t xml:space="preserve">ст. </w:t>
      </w:r>
      <w:r>
        <w:rPr>
          <w:rStyle w:val="CharStyle12"/>
          <w:lang w:val="en-US" w:eastAsia="en-US"/>
        </w:rPr>
        <w:t xml:space="preserve">38 </w:t>
      </w:r>
      <w:r>
        <w:rPr>
          <w:rStyle w:val="CharStyle12"/>
        </w:rPr>
        <w:t xml:space="preserve">Федерального закона от </w:t>
      </w:r>
      <w:r>
        <w:rPr>
          <w:rStyle w:val="CharStyle12"/>
          <w:lang w:val="en-US" w:eastAsia="en-US"/>
        </w:rPr>
        <w:t xml:space="preserve">21.11.2011 N </w:t>
      </w:r>
      <w:r>
        <w:rPr>
          <w:rStyle w:val="CharStyle12"/>
        </w:rPr>
        <w:t xml:space="preserve">323-ФЗ "Об основах охраны здоровья граждан в Российской Федерации" (далее </w:t>
      </w:r>
      <w:r>
        <w:rPr>
          <w:rStyle w:val="CharStyle12"/>
          <w:lang w:val="en-US" w:eastAsia="en-US"/>
        </w:rPr>
        <w:t xml:space="preserve">- </w:t>
      </w:r>
      <w:r>
        <w:rPr>
          <w:rStyle w:val="CharStyle12"/>
        </w:rPr>
        <w:t>Закон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Вместе с этим, в соответствии с п. </w:t>
      </w:r>
      <w:r>
        <w:rPr>
          <w:rStyle w:val="CharStyle12"/>
          <w:lang w:val="en-US" w:eastAsia="en-US"/>
        </w:rPr>
        <w:t xml:space="preserve">11 </w:t>
      </w:r>
      <w:r>
        <w:rPr>
          <w:rStyle w:val="CharStyle12"/>
        </w:rPr>
        <w:t xml:space="preserve">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утвержденных постановлением Правительства Российской Федерации от </w:t>
      </w:r>
      <w:r>
        <w:rPr>
          <w:rStyle w:val="CharStyle12"/>
          <w:lang w:val="en-US" w:eastAsia="en-US"/>
        </w:rPr>
        <w:t xml:space="preserve">01.04.2022 N 552, </w:t>
      </w:r>
      <w:r>
        <w:rPr>
          <w:rStyle w:val="CharStyle12"/>
        </w:rPr>
        <w:t xml:space="preserve">(далее </w:t>
      </w:r>
      <w:r>
        <w:rPr>
          <w:rStyle w:val="CharStyle12"/>
          <w:lang w:val="en-US" w:eastAsia="en-US"/>
        </w:rPr>
        <w:t xml:space="preserve">- </w:t>
      </w:r>
      <w:r>
        <w:rPr>
          <w:rStyle w:val="CharStyle12"/>
        </w:rPr>
        <w:t>Особенности),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11"/>
        <w:keepNext w:val="0"/>
        <w:keepLines w:val="0"/>
        <w:widowControl w:val="0"/>
        <w:shd w:val="clear" w:color="auto" w:fill="auto"/>
        <w:bidi w:val="0"/>
        <w:spacing w:before="0" w:after="0" w:line="254" w:lineRule="auto"/>
        <w:ind w:left="0" w:right="0" w:firstLine="700"/>
        <w:jc w:val="both"/>
        <w:sectPr>
          <w:headerReference w:type="default" r:id="rId11"/>
          <w:footerReference w:type="default" r:id="rId12"/>
          <w:footnotePr>
            <w:pos w:val="pageBottom"/>
            <w:numFmt w:val="decimal"/>
            <w:numRestart w:val="continuous"/>
          </w:footnotePr>
          <w:pgSz w:w="11900" w:h="16840"/>
          <w:pgMar w:top="1446" w:right="541" w:bottom="1715" w:left="425" w:header="0" w:footer="3" w:gutter="0"/>
          <w:cols w:space="720"/>
          <w:noEndnote/>
          <w:rtlGutter w:val="0"/>
          <w:docGrid w:linePitch="360"/>
        </w:sectPr>
      </w:pPr>
      <w:r>
        <w:rPr>
          <w:rStyle w:val="CharStyle12"/>
        </w:rPr>
        <w:t xml:space="preserve">В соответствии с пунктом </w:t>
      </w:r>
      <w:r>
        <w:rPr>
          <w:rStyle w:val="CharStyle12"/>
          <w:lang w:val="en-US" w:eastAsia="en-US"/>
        </w:rPr>
        <w:t xml:space="preserve">3.2 </w:t>
      </w:r>
      <w:r>
        <w:rPr>
          <w:rStyle w:val="CharStyle12"/>
        </w:rPr>
        <w:t xml:space="preserve">ГОСТ </w:t>
      </w:r>
      <w:r>
        <w:rPr>
          <w:rStyle w:val="CharStyle12"/>
          <w:lang w:val="en-US" w:eastAsia="en-US"/>
        </w:rPr>
        <w:t xml:space="preserve">31508-2012 </w:t>
      </w:r>
      <w:r>
        <w:rPr>
          <w:rStyle w:val="CharStyle12"/>
        </w:rPr>
        <w:t>"Межгосударственный стандарт. Изделия медицинские. Классификация в зависимости от потенциального риска применения. Общие требования" принадлежностями являются предметы,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 чтобы медицинское изделие могло быть использовано в соответствии с целевым назначением.</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 соответствии с п. </w:t>
      </w:r>
      <w:r>
        <w:rPr>
          <w:rStyle w:val="CharStyle12"/>
          <w:lang w:val="en-US" w:eastAsia="en-US"/>
        </w:rPr>
        <w:t xml:space="preserve">11(1) </w:t>
      </w:r>
      <w:r>
        <w:rPr>
          <w:rStyle w:val="CharStyle12"/>
        </w:rPr>
        <w:t xml:space="preserve">Особенностей допускается проведение технического обслуживания медицинских изделий с использованием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w:t>
      </w:r>
      <w:r>
        <w:rPr>
          <w:rStyle w:val="CharStyle12"/>
          <w:lang w:val="en-US" w:eastAsia="en-US"/>
        </w:rPr>
        <w:t xml:space="preserve">- </w:t>
      </w:r>
      <w:r>
        <w:rPr>
          <w:rStyle w:val="CharStyle12"/>
        </w:rPr>
        <w:t xml:space="preserve">токсикологическими исследованиями, проведенными федеральным государственным бюджетным учреждением "В" Федеральной службы по надзору в сфере здравоохранения, а также клиническими испытаниями, проведенными в порядке, установленном в соответствии с ч. </w:t>
      </w:r>
      <w:r>
        <w:rPr>
          <w:rStyle w:val="CharStyle12"/>
          <w:lang w:val="en-US" w:eastAsia="en-US"/>
        </w:rPr>
        <w:t xml:space="preserve">8 </w:t>
      </w:r>
      <w:r>
        <w:rPr>
          <w:rStyle w:val="CharStyle12"/>
        </w:rPr>
        <w:t xml:space="preserve">ст. </w:t>
      </w:r>
      <w:r>
        <w:rPr>
          <w:rStyle w:val="CharStyle12"/>
          <w:lang w:val="en-US" w:eastAsia="en-US"/>
        </w:rPr>
        <w:t xml:space="preserve">38 </w:t>
      </w:r>
      <w:r>
        <w:rPr>
          <w:rStyle w:val="CharStyle12"/>
        </w:rPr>
        <w:t>Закона об основах охраны здоровья граждан.</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Согласно ч. </w:t>
      </w:r>
      <w:r>
        <w:rPr>
          <w:rStyle w:val="CharStyle12"/>
          <w:lang w:val="en-US" w:eastAsia="en-US"/>
        </w:rPr>
        <w:t xml:space="preserve">8 </w:t>
      </w:r>
      <w:r>
        <w:rPr>
          <w:rStyle w:val="CharStyle12"/>
        </w:rPr>
        <w:t xml:space="preserve">ст. </w:t>
      </w:r>
      <w:r>
        <w:rPr>
          <w:rStyle w:val="CharStyle12"/>
          <w:lang w:val="en-US" w:eastAsia="en-US"/>
        </w:rPr>
        <w:t xml:space="preserve">38 </w:t>
      </w:r>
      <w:r>
        <w:rPr>
          <w:rStyle w:val="CharStyle12"/>
        </w:rPr>
        <w:t xml:space="preserve">Закона об основах охраны здоровья граждан в целях государственной регистрации медицинских изделий в порядке, установленном уполномоченным федеральным органом исполнительной власти, проводятся оценка соответствия в форме технических испытаний, токсикологических исследований, клинических испытаний и экспертиза качества, эффективности и безопасности медицинских изделий, а также испытания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w:t>
      </w:r>
      <w:r>
        <w:rPr>
          <w:rStyle w:val="CharStyle12"/>
          <w:lang w:val="en-US" w:eastAsia="en-US"/>
        </w:rPr>
        <w:t xml:space="preserve">31 </w:t>
      </w:r>
      <w:r>
        <w:rPr>
          <w:rStyle w:val="CharStyle12"/>
        </w:rPr>
        <w:t xml:space="preserve">июля </w:t>
      </w:r>
      <w:r>
        <w:rPr>
          <w:rStyle w:val="CharStyle12"/>
          <w:lang w:val="en-US" w:eastAsia="en-US"/>
        </w:rPr>
        <w:t xml:space="preserve">2020 </w:t>
      </w:r>
      <w:r>
        <w:rPr>
          <w:rStyle w:val="CharStyle12"/>
        </w:rPr>
        <w:t xml:space="preserve">года </w:t>
      </w:r>
      <w:r>
        <w:rPr>
          <w:rStyle w:val="CharStyle12"/>
          <w:lang w:val="en-US" w:eastAsia="en-US"/>
        </w:rPr>
        <w:t xml:space="preserve">N </w:t>
      </w:r>
      <w:r>
        <w:rPr>
          <w:rStyle w:val="CharStyle12"/>
        </w:rPr>
        <w:t>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Таким образом, Комиссия Управления приходит к выводу, что при эксплуатации медицинских изделий допускается применение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w:t>
      </w:r>
      <w:r>
        <w:rPr>
          <w:rStyle w:val="CharStyle12"/>
          <w:lang w:val="en-US" w:eastAsia="en-US"/>
        </w:rPr>
        <w:t xml:space="preserve">- </w:t>
      </w:r>
      <w:r>
        <w:rPr>
          <w:rStyle w:val="CharStyle12"/>
        </w:rPr>
        <w:t xml:space="preserve">токсикологическими исследованиями, проведенными федеральным государственным бюджетным учреждением "В" Федеральной службы по надзору в сфере здравоохранения, а также клиническими испытаниями, проведенными в порядке, установленном в соответствии с ч. </w:t>
      </w:r>
      <w:r>
        <w:rPr>
          <w:rStyle w:val="CharStyle12"/>
          <w:lang w:val="en-US" w:eastAsia="en-US"/>
        </w:rPr>
        <w:t xml:space="preserve">8 </w:t>
      </w:r>
      <w:r>
        <w:rPr>
          <w:rStyle w:val="CharStyle12"/>
        </w:rPr>
        <w:t xml:space="preserve">ст. </w:t>
      </w:r>
      <w:r>
        <w:rPr>
          <w:rStyle w:val="CharStyle12"/>
          <w:lang w:val="en-US" w:eastAsia="en-US"/>
        </w:rPr>
        <w:t xml:space="preserve">38 </w:t>
      </w:r>
      <w:r>
        <w:rPr>
          <w:rStyle w:val="CharStyle12"/>
        </w:rPr>
        <w:t>Закона об основах охраны здоровья граждан.</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Аналогичная позиция изложена в письме Росздравнадзора от </w:t>
      </w:r>
      <w:r>
        <w:rPr>
          <w:rStyle w:val="CharStyle12"/>
          <w:lang w:val="en-US" w:eastAsia="en-US"/>
        </w:rPr>
        <w:t xml:space="preserve">31.03.2023 № 10- 18368/23 </w:t>
      </w:r>
      <w:r>
        <w:rPr>
          <w:rStyle w:val="CharStyle12"/>
        </w:rPr>
        <w:t>«О предоставлении информации».</w:t>
      </w:r>
    </w:p>
    <w:p>
      <w:pPr>
        <w:pStyle w:val="Style11"/>
        <w:keepNext w:val="0"/>
        <w:keepLines w:val="0"/>
        <w:widowControl w:val="0"/>
        <w:shd w:val="clear" w:color="auto" w:fill="auto"/>
        <w:bidi w:val="0"/>
        <w:spacing w:before="0" w:after="0" w:line="293"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450" w:right="540" w:bottom="1162" w:left="425" w:header="0" w:footer="734" w:gutter="0"/>
          <w:cols w:space="720"/>
          <w:noEndnote/>
          <w:rtlGutter w:val="0"/>
          <w:docGrid w:linePitch="360"/>
        </w:sectPr>
      </w:pPr>
      <w:r>
        <w:rPr>
          <w:rStyle w:val="CharStyle12"/>
        </w:rPr>
        <w:t xml:space="preserve">Также п. </w:t>
      </w:r>
      <w:r>
        <w:rPr>
          <w:rStyle w:val="CharStyle12"/>
          <w:lang w:val="en-US" w:eastAsia="en-US"/>
        </w:rPr>
        <w:t xml:space="preserve">61 </w:t>
      </w:r>
      <w:r>
        <w:rPr>
          <w:rStyle w:val="CharStyle12"/>
        </w:rPr>
        <w:t xml:space="preserve">Постановление Правительства РФ от </w:t>
      </w:r>
      <w:r>
        <w:rPr>
          <w:rStyle w:val="CharStyle12"/>
          <w:lang w:val="en-US" w:eastAsia="en-US"/>
        </w:rPr>
        <w:t xml:space="preserve">30.11.2024 № 1684 </w:t>
      </w:r>
      <w:r>
        <w:rPr>
          <w:rStyle w:val="CharStyle12"/>
        </w:rPr>
        <w:t xml:space="preserve">«Об утверждении Правил государственной регистрации медицинских изделий» в том числе определено, что в целях прохождения процедуры государственной регистрации медицинского изделия производитель (изготовитель) медицинского изделия должен </w:t>
      </w:r>
      <w:r>
        <w:rPr>
          <w:rStyle w:val="CharStyle12"/>
          <w:sz w:val="24"/>
          <w:szCs w:val="24"/>
          <w:lang w:val="en-US" w:eastAsia="en-US"/>
        </w:rPr>
        <w:t>2026-21981</w:t>
      </w:r>
    </w:p>
    <w:p>
      <w:pPr>
        <w:pStyle w:val="Style11"/>
        <w:keepNext w:val="0"/>
        <w:keepLines w:val="0"/>
        <w:widowControl w:val="0"/>
        <w:shd w:val="clear" w:color="auto" w:fill="auto"/>
        <w:bidi w:val="0"/>
        <w:spacing w:before="0" w:after="0" w:line="254" w:lineRule="auto"/>
        <w:ind w:left="0" w:right="0" w:firstLine="0"/>
        <w:jc w:val="both"/>
      </w:pPr>
      <w:r>
        <w:rPr>
          <w:rStyle w:val="CharStyle12"/>
        </w:rPr>
        <w:t>обеспечить соответствие медицинского изделия следующим требованиям (по применимости):</w:t>
      </w:r>
    </w:p>
    <w:p>
      <w:pPr>
        <w:pStyle w:val="Style11"/>
        <w:keepNext w:val="0"/>
        <w:keepLines w:val="0"/>
        <w:widowControl w:val="0"/>
        <w:numPr>
          <w:ilvl w:val="0"/>
          <w:numId w:val="5"/>
        </w:numPr>
        <w:shd w:val="clear" w:color="auto" w:fill="auto"/>
        <w:tabs>
          <w:tab w:pos="1080" w:val="left"/>
        </w:tabs>
        <w:bidi w:val="0"/>
        <w:spacing w:before="0" w:after="0" w:line="254" w:lineRule="auto"/>
        <w:ind w:left="0" w:right="0" w:firstLine="700"/>
        <w:jc w:val="both"/>
      </w:pPr>
      <w:r>
        <w:rPr>
          <w:rStyle w:val="CharStyle12"/>
        </w:rPr>
        <w:t>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 если это не предназначено для обеспечения безопасности и эффективности медицинского изделия;</w:t>
      </w:r>
    </w:p>
    <w:p>
      <w:pPr>
        <w:pStyle w:val="Style11"/>
        <w:keepNext w:val="0"/>
        <w:keepLines w:val="0"/>
        <w:widowControl w:val="0"/>
        <w:numPr>
          <w:ilvl w:val="0"/>
          <w:numId w:val="5"/>
        </w:numPr>
        <w:shd w:val="clear" w:color="auto" w:fill="auto"/>
        <w:tabs>
          <w:tab w:pos="1087" w:val="left"/>
        </w:tabs>
        <w:bidi w:val="0"/>
        <w:spacing w:before="0" w:after="0" w:line="254" w:lineRule="auto"/>
        <w:ind w:left="0" w:right="0" w:firstLine="700"/>
        <w:jc w:val="both"/>
      </w:pPr>
      <w:r>
        <w:rPr>
          <w:rStyle w:val="CharStyle12"/>
        </w:rPr>
        <w:t>допускается подтверждение возможности совместного применения регистрируемого медицинского изделия с другим медицинским изделием иного производителя (изготовителя), зарегистрированным в соответствии с требованиями законодательства Российской Федерации в сфере государственной регистрации медицинских изделий. При этом совместное применение регистрируемого медицинского изделия с медицинским изделием иного производителя (изготовителя) осуществляется с учетом особенностей, установленных в эксплуатационной документации производителя (изготовителя) на регистрируемое медицинское изделие.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Таким образом, совместимость медицинского изделия (оборудования) и расходных материалов подтверждается или производителем оборудования или ФГБУ Росздравнадзора в процессе регистрации расходных материалов сторонних производителей.</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Комиссия Управления считает необходимым отметить, что само по себе требование о совместимости закупаемых изделий с оборудованием, используемым Заказчиком (в случае действительного совместного использования) по своей сути не может являться нарушением требований ст.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Так, в рамках обжалуемого требования к изделиям Заказчиком указано лишь на необходимость совместимости закупаемого товара с имеющимся у Заказчика оборудованием, а не на необходимость поставки товара конкретного производителя, ввиду чего Комиссия Управления приходит к выводу, что оспариваемое требование не может являться ограничивающим требованиям к изделию, так как, в случае предложения участника закупки к поставке изделия, совместимого с имеющимся у Заказчиком изделием (в том числе и российского производства) </w:t>
      </w:r>
      <w:r>
        <w:rPr>
          <w:rStyle w:val="CharStyle12"/>
          <w:lang w:val="en-US" w:eastAsia="en-US"/>
        </w:rPr>
        <w:t xml:space="preserve">- </w:t>
      </w:r>
      <w:r>
        <w:rPr>
          <w:rStyle w:val="CharStyle12"/>
        </w:rPr>
        <w:t>такое предложение не будет противоречить установленному требованию.</w:t>
      </w:r>
    </w:p>
    <w:p>
      <w:pPr>
        <w:pStyle w:val="Style11"/>
        <w:keepNext w:val="0"/>
        <w:keepLines w:val="0"/>
        <w:widowControl w:val="0"/>
        <w:shd w:val="clear" w:color="auto" w:fill="auto"/>
        <w:bidi w:val="0"/>
        <w:spacing w:before="0" w:after="0" w:line="254" w:lineRule="auto"/>
        <w:ind w:left="0" w:right="0" w:firstLine="700"/>
        <w:jc w:val="both"/>
      </w:pPr>
      <w:r>
        <w:rPr>
          <w:rStyle w:val="CharStyle12"/>
        </w:rPr>
        <w:t>Таким образом, Комиссия Управления приходит к выводу, что данный довод жалобы на нашел своего подтверждения и является необоснованным.</w:t>
      </w:r>
    </w:p>
    <w:p>
      <w:pPr>
        <w:pStyle w:val="Style11"/>
        <w:keepNext w:val="0"/>
        <w:keepLines w:val="0"/>
        <w:widowControl w:val="0"/>
        <w:shd w:val="clear" w:color="auto" w:fill="auto"/>
        <w:bidi w:val="0"/>
        <w:spacing w:before="0" w:after="0" w:line="254"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 Е Ш И Л А:</w:t>
      </w:r>
    </w:p>
    <w:p>
      <w:pPr>
        <w:pStyle w:val="Style11"/>
        <w:keepNext w:val="0"/>
        <w:keepLines w:val="0"/>
        <w:widowControl w:val="0"/>
        <w:numPr>
          <w:ilvl w:val="0"/>
          <w:numId w:val="7"/>
        </w:numPr>
        <w:shd w:val="clear" w:color="auto" w:fill="auto"/>
        <w:tabs>
          <w:tab w:pos="1040" w:val="left"/>
        </w:tabs>
        <w:bidi w:val="0"/>
        <w:spacing w:before="0" w:after="0" w:line="240" w:lineRule="auto"/>
        <w:ind w:left="0" w:right="0" w:firstLine="720"/>
        <w:jc w:val="both"/>
      </w:pPr>
      <w:r>
        <w:rPr>
          <w:rStyle w:val="CharStyle12"/>
        </w:rPr>
        <w:t>.Признать жалобу ООО «ВЫСОТА» на действия ГБУЗ «ГКБ им. Ф.И. Иноземцева ДЗМ» обоснованной в части неправомерного описания объекта закупки.</w:t>
      </w:r>
    </w:p>
    <w:p>
      <w:pPr>
        <w:pStyle w:val="Style11"/>
        <w:keepNext w:val="0"/>
        <w:keepLines w:val="0"/>
        <w:widowControl w:val="0"/>
        <w:numPr>
          <w:ilvl w:val="0"/>
          <w:numId w:val="7"/>
        </w:numPr>
        <w:shd w:val="clear" w:color="auto" w:fill="auto"/>
        <w:tabs>
          <w:tab w:pos="1035" w:val="left"/>
        </w:tabs>
        <w:bidi w:val="0"/>
        <w:spacing w:before="0" w:after="0" w:line="240" w:lineRule="auto"/>
        <w:ind w:left="0" w:right="0" w:firstLine="720"/>
        <w:jc w:val="both"/>
      </w:pPr>
      <w:r>
        <w:rPr>
          <w:rStyle w:val="CharStyle12"/>
        </w:rPr>
        <w:t>.Признать в действиях Заказчика нарушение п.1 ч.1 ст.33 Закона о контрактной системе.</w:t>
      </w:r>
    </w:p>
    <w:p>
      <w:pPr>
        <w:pStyle w:val="Style11"/>
        <w:keepNext w:val="0"/>
        <w:keepLines w:val="0"/>
        <w:widowControl w:val="0"/>
        <w:numPr>
          <w:ilvl w:val="0"/>
          <w:numId w:val="7"/>
        </w:numPr>
        <w:shd w:val="clear" w:color="auto" w:fill="auto"/>
        <w:tabs>
          <w:tab w:pos="1045" w:val="left"/>
        </w:tabs>
        <w:bidi w:val="0"/>
        <w:spacing w:before="0" w:after="0" w:line="240" w:lineRule="auto"/>
        <w:ind w:left="0" w:right="0" w:firstLine="720"/>
        <w:jc w:val="both"/>
      </w:pPr>
      <w:r>
        <w:rPr>
          <w:rStyle w:val="CharStyle12"/>
        </w:rPr>
        <w:t>.Выдать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7"/>
        </w:numPr>
        <w:shd w:val="clear" w:color="auto" w:fill="auto"/>
        <w:tabs>
          <w:tab w:pos="1050" w:val="left"/>
        </w:tabs>
        <w:bidi w:val="0"/>
        <w:spacing w:before="0" w:after="180" w:line="240" w:lineRule="auto"/>
        <w:ind w:left="0" w:right="0" w:firstLine="72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450" w:right="538" w:bottom="3404" w:left="423" w:header="0" w:footer="3" w:gutter="0"/>
          <w:cols w:space="720"/>
          <w:noEndnote/>
          <w:rtlGutter w:val="0"/>
          <w:docGrid w:linePitch="360"/>
        </w:sectPr>
      </w:pPr>
      <w:r>
        <mc:AlternateContent>
          <mc:Choice Requires="wps">
            <w:drawing>
              <wp:anchor distT="127000" distB="344170" distL="0" distR="0" simplePos="0" relativeHeight="125829378" behindDoc="0" locked="0" layoutInCell="1" allowOverlap="1">
                <wp:simplePos x="0" y="0"/>
                <wp:positionH relativeFrom="page">
                  <wp:posOffset>292735</wp:posOffset>
                </wp:positionH>
                <wp:positionV relativeFrom="paragraph">
                  <wp:posOffset>127000</wp:posOffset>
                </wp:positionV>
                <wp:extent cx="1844040" cy="250190"/>
                <wp:wrapTopAndBottom/>
                <wp:docPr id="17" name="Shape 17"/>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23.050000000000001pt;margin-top:10.pt;width:145.20000000000002pt;height:19.699999999999999pt;z-index:-125829375;mso-wrap-distance-left:0;mso-wrap-distance-top:10.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91135" distB="0" distL="0" distR="1786255" simplePos="0" relativeHeight="125829380" behindDoc="0" locked="0" layoutInCell="1" allowOverlap="1">
            <wp:simplePos x="0" y="0"/>
            <wp:positionH relativeFrom="page">
              <wp:posOffset>2837815</wp:posOffset>
            </wp:positionH>
            <wp:positionV relativeFrom="paragraph">
              <wp:posOffset>191135</wp:posOffset>
            </wp:positionV>
            <wp:extent cx="359410" cy="53022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3298190</wp:posOffset>
                </wp:positionH>
                <wp:positionV relativeFrom="paragraph">
                  <wp:posOffset>605790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59.69999999999999pt;margin-top:47.700000000000003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3258185</wp:posOffset>
                </wp:positionH>
                <wp:positionV relativeFrom="paragraph">
                  <wp:posOffset>288925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56.55000000000001pt;margin-top:22.75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4170" distL="0" distR="0" simplePos="0" relativeHeight="125829381" behindDoc="0" locked="0" layoutInCell="1" allowOverlap="1">
                <wp:simplePos x="0" y="0"/>
                <wp:positionH relativeFrom="page">
                  <wp:posOffset>6056630</wp:posOffset>
                </wp:positionH>
                <wp:positionV relativeFrom="paragraph">
                  <wp:posOffset>127000</wp:posOffset>
                </wp:positionV>
                <wp:extent cx="1124585" cy="250190"/>
                <wp:wrapTopAndBottom/>
                <wp:docPr id="25" name="Shape 25"/>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Д.С. Грешнева</w:t>
                            </w:r>
                          </w:p>
                        </w:txbxContent>
                      </wps:txbx>
                      <wps:bodyPr wrap="none" lIns="0" tIns="0" rIns="0" bIns="0">
                        <a:noAutoFit/>
                      </wps:bodyPr>
                    </wps:wsp>
                  </a:graphicData>
                </a:graphic>
              </wp:anchor>
            </w:drawing>
          </mc:Choice>
          <mc:Fallback>
            <w:pict>
              <v:shape id="_x0000_s1051" type="#_x0000_t202" style="position:absolute;margin-left:476.90000000000003pt;margin-top:10.pt;width:88.549999999999997pt;height:19.699999999999999pt;z-index:-125829372;mso-wrap-distance-left:0;mso-wrap-distance-top:10.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Д.С. Грешнева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Грешнева Дарья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color w:val="2A2A2A"/>
        </w:rPr>
        <w:t xml:space="preserve">Сертификат № </w:t>
      </w:r>
      <w:r>
        <w:rPr>
          <w:rStyle w:val="CharStyle19"/>
          <w:color w:val="5D5D5D"/>
        </w:rPr>
        <w:t>00831</w:t>
      </w:r>
      <w:r>
        <w:rPr>
          <w:rStyle w:val="CharStyle19"/>
          <w:lang w:val="en-US" w:eastAsia="en-US"/>
        </w:rPr>
        <w:t>B7545C61281C4BAB156778A683BFB</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Действителен с </w:t>
      </w:r>
      <w:r>
        <w:rPr>
          <w:rStyle w:val="CharStyle19"/>
          <w:color w:val="2A2A2A"/>
        </w:rPr>
        <w:t xml:space="preserve">17.07.2025 </w:t>
      </w:r>
      <w:r>
        <w:rPr>
          <w:rStyle w:val="CharStyle19"/>
          <w:color w:val="5D5D5D"/>
        </w:rPr>
        <w:t xml:space="preserve">по </w:t>
      </w:r>
      <w:r>
        <w:rPr>
          <w:rStyle w:val="CharStyle19"/>
        </w:rPr>
        <w:t>10.10.2026</w:t>
      </w:r>
    </w:p>
    <w:p>
      <w:pPr>
        <w:widowControl w:val="0"/>
        <w:spacing w:line="1" w:lineRule="exact"/>
        <w:sectPr>
          <w:footnotePr>
            <w:pos w:val="pageBottom"/>
            <w:numFmt w:val="decimal"/>
            <w:numRestart w:val="continuous"/>
          </w:footnotePr>
          <w:type w:val="continuous"/>
          <w:pgSz w:w="11900" w:h="16840"/>
          <w:pgMar w:top="1767" w:right="541" w:bottom="3404" w:left="421" w:header="0" w:footer="3" w:gutter="0"/>
          <w:cols w:space="720"/>
          <w:noEndnote/>
          <w:rtlGutter w:val="0"/>
          <w:docGrid w:linePitch="360"/>
        </w:sectPr>
      </w:pPr>
      <w:r>
        <mc:AlternateContent>
          <mc:Choice Requires="wps">
            <w:drawing>
              <wp:anchor distT="38100" distB="341630" distL="0" distR="0" simplePos="0" relativeHeight="125829383" behindDoc="0" locked="0" layoutInCell="1" allowOverlap="1">
                <wp:simplePos x="0" y="0"/>
                <wp:positionH relativeFrom="page">
                  <wp:posOffset>290195</wp:posOffset>
                </wp:positionH>
                <wp:positionV relativeFrom="paragraph">
                  <wp:posOffset>38100</wp:posOffset>
                </wp:positionV>
                <wp:extent cx="1344295" cy="252730"/>
                <wp:wrapTopAndBottom/>
                <wp:docPr id="27" name="Shape 2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wps:txbx>
                      <wps:bodyPr wrap="none" lIns="0" tIns="0" rIns="0" bIns="0">
                        <a:noAutoFit/>
                      </wps:bodyPr>
                    </wps:wsp>
                  </a:graphicData>
                </a:graphic>
              </wp:anchor>
            </w:drawing>
          </mc:Choice>
          <mc:Fallback>
            <w:pict>
              <v:shape id="_x0000_s1053" type="#_x0000_t202" style="position:absolute;margin-left:22.850000000000001pt;margin-top:3.pt;width:105.85000000000001pt;height:19.900000000000002pt;z-index:-125829370;mso-wrap-distance-left:0;mso-wrap-distance-top:3.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v:textbox>
                <w10:wrap type="topAndBottom" anchorx="page"/>
              </v:shape>
            </w:pict>
          </mc:Fallback>
        </mc:AlternateContent>
      </w:r>
      <w:r>
        <w:drawing>
          <wp:anchor distT="111125" distB="0" distL="0" distR="1786255" simplePos="0" relativeHeight="125829385" behindDoc="0" locked="0" layoutInCell="1" allowOverlap="1">
            <wp:simplePos x="0" y="0"/>
            <wp:positionH relativeFrom="page">
              <wp:posOffset>2838450</wp:posOffset>
            </wp:positionH>
            <wp:positionV relativeFrom="paragraph">
              <wp:posOffset>111125</wp:posOffset>
            </wp:positionV>
            <wp:extent cx="359410" cy="52451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3298825</wp:posOffset>
                </wp:positionH>
                <wp:positionV relativeFrom="paragraph">
                  <wp:posOffset>516255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59.75pt;margin-top:40.64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3258820</wp:posOffset>
                </wp:positionH>
                <wp:positionV relativeFrom="paragraph">
                  <wp:posOffset>199390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56.60000000000002pt;margin-top:15.70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341630" distL="0" distR="0" simplePos="0" relativeHeight="125829386" behindDoc="0" locked="0" layoutInCell="1" allowOverlap="1">
                <wp:simplePos x="0" y="0"/>
                <wp:positionH relativeFrom="page">
                  <wp:posOffset>6078220</wp:posOffset>
                </wp:positionH>
                <wp:positionV relativeFrom="paragraph">
                  <wp:posOffset>38100</wp:posOffset>
                </wp:positionV>
                <wp:extent cx="1118870" cy="252730"/>
                <wp:wrapTopAndBottom/>
                <wp:docPr id="35" name="Shape 35"/>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М.О. Мацнева</w:t>
                            </w:r>
                          </w:p>
                        </w:txbxContent>
                      </wps:txbx>
                      <wps:bodyPr wrap="none" lIns="0" tIns="0" rIns="0" bIns="0">
                        <a:noAutoFit/>
                      </wps:bodyPr>
                    </wps:wsp>
                  </a:graphicData>
                </a:graphic>
              </wp:anchor>
            </w:drawing>
          </mc:Choice>
          <mc:Fallback>
            <w:pict>
              <v:shape id="_x0000_s1061" type="#_x0000_t202" style="position:absolute;margin-left:478.60000000000002pt;margin-top:3.pt;width:88.100000000000009pt;height:19.900000000000002pt;z-index:-125829367;mso-wrap-distance-left:0;mso-wrap-distance-top:3.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М.О. Мацнева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Мацнева Мария Олеговна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A2A2A"/>
        </w:rPr>
        <w:t xml:space="preserve">№ </w:t>
      </w:r>
      <w:r>
        <w:rPr>
          <w:rStyle w:val="CharStyle19"/>
          <w:lang w:val="en-US" w:eastAsia="en-US"/>
        </w:rPr>
        <w:t>00FDA1C988AAB27A9A34756B8D5F1D853</w:t>
      </w:r>
      <w:r>
        <w:rPr>
          <w:rStyle w:val="CharStyle19"/>
          <w:lang w:val="en-US" w:eastAsia="en-US"/>
        </w:rPr>
        <w:t>A</w:t>
      </w:r>
    </w:p>
    <w:p>
      <w:pPr>
        <w:pStyle w:val="Style18"/>
        <w:keepNext w:val="0"/>
        <w:keepLines w:val="0"/>
        <w:widowControl w:val="0"/>
        <w:shd w:val="clear" w:color="auto" w:fill="auto"/>
        <w:bidi w:val="0"/>
        <w:spacing w:before="0" w:after="260" w:line="240" w:lineRule="auto"/>
        <w:ind w:right="0" w:firstLine="0"/>
        <w:jc w:val="left"/>
      </w:pPr>
      <w:r>
        <w:rPr>
          <w:rStyle w:val="CharStyle19"/>
        </w:rPr>
        <w:t xml:space="preserve">Действителен с 22.07.2025 </w:t>
      </w:r>
      <w:r>
        <w:rPr>
          <w:rStyle w:val="CharStyle19"/>
          <w:color w:val="5D5D5D"/>
        </w:rPr>
        <w:t xml:space="preserve">по </w:t>
      </w:r>
      <w:r>
        <w:rPr>
          <w:rStyle w:val="CharStyle19"/>
        </w:rPr>
        <w:t>15.10.2026</w:t>
      </w:r>
    </w:p>
    <w:p>
      <w:pPr>
        <w:pStyle w:val="Style11"/>
        <w:keepNext w:val="0"/>
        <w:keepLines w:val="0"/>
        <w:widowControl w:val="0"/>
        <w:shd w:val="clear" w:color="auto" w:fill="auto"/>
        <w:bidi w:val="0"/>
        <w:spacing w:before="0" w:after="370" w:line="240" w:lineRule="auto"/>
        <w:ind w:left="0" w:right="0" w:firstLine="0"/>
        <w:jc w:val="right"/>
      </w:pPr>
      <w:r>
        <w:drawing>
          <wp:anchor distT="0" distB="0" distL="114300" distR="1918970" simplePos="0" relativeHeight="125829388" behindDoc="0" locked="0" layoutInCell="1" allowOverlap="1">
            <wp:simplePos x="0" y="0"/>
            <wp:positionH relativeFrom="page">
              <wp:posOffset>2862580</wp:posOffset>
            </wp:positionH>
            <wp:positionV relativeFrom="paragraph">
              <wp:posOffset>76200</wp:posOffset>
            </wp:positionV>
            <wp:extent cx="316865"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316865"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3258820</wp:posOffset>
                </wp:positionH>
                <wp:positionV relativeFrom="paragraph">
                  <wp:posOffset>146050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56.60000000000002pt;margin-top:11.5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Хлебникова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ХЛЕБНИКОВА АНАСТАСИЯ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A2A2A"/>
        </w:rPr>
        <w:t xml:space="preserve">№ </w:t>
      </w:r>
      <w:r>
        <w:rPr>
          <w:rStyle w:val="CharStyle19"/>
          <w:lang w:val="en-US" w:eastAsia="en-US"/>
        </w:rPr>
        <w:t>00BDC586F2C22E8641</w:t>
      </w:r>
      <w:r>
        <w:rPr>
          <w:rStyle w:val="CharStyle19"/>
        </w:rPr>
        <w:t>81858031</w:t>
      </w:r>
      <w:r>
        <w:rPr>
          <w:rStyle w:val="CharStyle19"/>
          <w:lang w:val="en-US" w:eastAsia="en-US"/>
        </w:rPr>
        <w:t>D</w:t>
      </w:r>
      <w:r>
        <w:rPr>
          <w:rStyle w:val="CharStyle19"/>
        </w:rPr>
        <w:t>1</w:t>
      </w:r>
      <w:r>
        <w:rPr>
          <w:rStyle w:val="CharStyle19"/>
          <w:color w:val="2A2A2A"/>
        </w:rPr>
        <w:t>6А11</w:t>
      </w:r>
      <w:r>
        <w:rPr>
          <w:rStyle w:val="CharStyle19"/>
        </w:rPr>
        <w:t>13</w:t>
      </w:r>
    </w:p>
    <w:p>
      <w:pPr>
        <w:pStyle w:val="Style18"/>
        <w:keepNext w:val="0"/>
        <w:keepLines w:val="0"/>
        <w:widowControl w:val="0"/>
        <w:shd w:val="clear" w:color="auto" w:fill="auto"/>
        <w:bidi w:val="0"/>
        <w:spacing w:before="0" w:after="1200" w:line="240" w:lineRule="auto"/>
        <w:ind w:right="0" w:firstLine="0"/>
        <w:jc w:val="left"/>
      </w:pPr>
      <w:r>
        <w:rPr>
          <w:rStyle w:val="CharStyle19"/>
        </w:rPr>
        <w:t>Действителен с 31.1</w:t>
      </w:r>
      <w:r>
        <w:rPr>
          <w:rStyle w:val="CharStyle19"/>
          <w:color w:val="5D5D5D"/>
        </w:rPr>
        <w:t xml:space="preserve">0.2025 по </w:t>
      </w:r>
      <w:r>
        <w:rPr>
          <w:rStyle w:val="CharStyle19"/>
          <w:color w:val="2A2A2A"/>
        </w:rPr>
        <w:t>24.01</w:t>
      </w:r>
      <w:r>
        <w:rPr>
          <w:rStyle w:val="CharStyle19"/>
        </w:rPr>
        <w:t>.2027</w:t>
      </w:r>
    </w:p>
    <w:p>
      <w:pPr>
        <w:pStyle w:val="Style25"/>
        <w:keepNext w:val="0"/>
        <w:keepLines w:val="0"/>
        <w:widowControl w:val="0"/>
        <w:shd w:val="clear" w:color="auto" w:fill="auto"/>
        <w:bidi w:val="0"/>
        <w:spacing w:before="0" w:line="240" w:lineRule="auto"/>
        <w:ind w:left="0" w:right="0" w:firstLine="0"/>
        <w:jc w:val="left"/>
      </w:pPr>
      <w:r>
        <w:rPr>
          <w:rStyle w:val="CharStyle26"/>
        </w:rPr>
        <w:t>Исп.Мацнева М.О. тел.8(495)784-75-05</w:t>
      </w:r>
    </w:p>
    <w:sectPr>
      <w:footnotePr>
        <w:pos w:val="pageBottom"/>
        <w:numFmt w:val="decimal"/>
        <w:numRestart w:val="continuous"/>
      </w:footnotePr>
      <w:type w:val="continuous"/>
      <w:pgSz w:w="11900" w:h="16840"/>
      <w:pgMar w:top="1767" w:right="541" w:bottom="1767" w:left="42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328295</wp:posOffset>
              </wp:positionH>
              <wp:positionV relativeFrom="page">
                <wp:posOffset>10217150</wp:posOffset>
              </wp:positionV>
              <wp:extent cx="734695" cy="125095"/>
              <wp:wrapNone/>
              <wp:docPr id="3" name="Shape 3"/>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2026-21981</w:t>
                          </w:r>
                        </w:p>
                      </w:txbxContent>
                    </wps:txbx>
                    <wps:bodyPr wrap="none" lIns="0" tIns="0" rIns="0" bIns="0">
                      <a:spAutoFit/>
                    </wps:bodyPr>
                  </wps:wsp>
                </a:graphicData>
              </a:graphic>
            </wp:anchor>
          </w:drawing>
        </mc:Choice>
        <mc:Fallback>
          <w:pict>
            <v:shape id="_x0000_s1029" type="#_x0000_t202" style="position:absolute;margin-left:25.850000000000001pt;margin-top:804.5pt;width:57.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2026-21981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280670</wp:posOffset>
              </wp:positionH>
              <wp:positionV relativeFrom="page">
                <wp:posOffset>9772650</wp:posOffset>
              </wp:positionV>
              <wp:extent cx="719455" cy="103505"/>
              <wp:wrapNone/>
              <wp:docPr id="9" name="Shape 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2026-21981</w:t>
                          </w:r>
                        </w:p>
                      </w:txbxContent>
                    </wps:txbx>
                    <wps:bodyPr wrap="none" lIns="0" tIns="0" rIns="0" bIns="0">
                      <a:spAutoFit/>
                    </wps:bodyPr>
                  </wps:wsp>
                </a:graphicData>
              </a:graphic>
            </wp:anchor>
          </w:drawing>
        </mc:Choice>
        <mc:Fallback>
          <w:pict>
            <v:shape id="_x0000_s1035" type="#_x0000_t202" style="position:absolute;margin-left:22.100000000000001pt;margin-top:769.5pt;width:56.649999999999999pt;height:8.1500000000000004pt;z-index:-18874405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2026-21981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280670</wp:posOffset>
              </wp:positionH>
              <wp:positionV relativeFrom="page">
                <wp:posOffset>9772650</wp:posOffset>
              </wp:positionV>
              <wp:extent cx="719455" cy="103505"/>
              <wp:wrapNone/>
              <wp:docPr id="15" name="Shape 15"/>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2026-21981</w:t>
                          </w:r>
                        </w:p>
                      </w:txbxContent>
                    </wps:txbx>
                    <wps:bodyPr wrap="none" lIns="0" tIns="0" rIns="0" bIns="0">
                      <a:spAutoFit/>
                    </wps:bodyPr>
                  </wps:wsp>
                </a:graphicData>
              </a:graphic>
            </wp:anchor>
          </w:drawing>
        </mc:Choice>
        <mc:Fallback>
          <w:pict>
            <v:shape id="_x0000_s1041" type="#_x0000_t202" style="position:absolute;margin-left:22.100000000000001pt;margin-top:769.5pt;width:56.649999999999999pt;height:8.1500000000000004pt;z-index:-18874405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2026-21981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3710305</wp:posOffset>
              </wp:positionH>
              <wp:positionV relativeFrom="page">
                <wp:posOffset>648335</wp:posOffset>
              </wp:positionV>
              <wp:extent cx="76200" cy="69850"/>
              <wp:wrapNone/>
              <wp:docPr id="1" name="Shape 1"/>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92.15000000000003pt;margin-top:51.050000000000004pt;width:6.pt;height:5.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3700780</wp:posOffset>
              </wp:positionH>
              <wp:positionV relativeFrom="page">
                <wp:posOffset>655955</wp:posOffset>
              </wp:positionV>
              <wp:extent cx="42545" cy="91440"/>
              <wp:wrapNone/>
              <wp:docPr id="7" name="Shape 7"/>
              <a:graphic xmlns:a="http://schemas.openxmlformats.org/drawingml/2006/main">
                <a:graphicData uri="http://schemas.microsoft.com/office/word/2010/wordprocessingShape">
                  <wps:wsp>
                    <wps:cNvSpPr txBox="1"/>
                    <wps:spPr>
                      <a:xfrm>
                        <a:ext cx="42545"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3" type="#_x0000_t202" style="position:absolute;margin-left:291.40000000000003pt;margin-top:51.649999999999999pt;width:3.3500000000000001pt;height:7.2000000000000002pt;z-index:-18874405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3710305</wp:posOffset>
              </wp:positionH>
              <wp:positionV relativeFrom="page">
                <wp:posOffset>648335</wp:posOffset>
              </wp:positionV>
              <wp:extent cx="76200" cy="69850"/>
              <wp:wrapNone/>
              <wp:docPr id="11" name="Shape 11"/>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292.15000000000003pt;margin-top:51.050000000000004pt;width:6.pt;height:5.5pt;z-index:-18874405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3700780</wp:posOffset>
              </wp:positionH>
              <wp:positionV relativeFrom="page">
                <wp:posOffset>655955</wp:posOffset>
              </wp:positionV>
              <wp:extent cx="42545" cy="91440"/>
              <wp:wrapNone/>
              <wp:docPr id="13" name="Shape 13"/>
              <a:graphic xmlns:a="http://schemas.openxmlformats.org/drawingml/2006/main">
                <a:graphicData uri="http://schemas.microsoft.com/office/word/2010/wordprocessingShape">
                  <wps:wsp>
                    <wps:cNvSpPr txBox="1"/>
                    <wps:spPr>
                      <a:xfrm>
                        <a:ext cx="42545"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291.40000000000003pt;margin-top:51.649999999999999pt;width:3.3500000000000001pt;height:7.2000000000000002pt;z-index:-18874405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A2A2A"/>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9">
    <w:name w:val="Heading #1"/>
    <w:basedOn w:val="Normal"/>
    <w:link w:val="CharStyle10"/>
    <w:pPr>
      <w:widowControl w:val="0"/>
      <w:shd w:val="clear" w:color="auto" w:fill="auto"/>
      <w:ind w:firstLine="560"/>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8">
    <w:name w:val="Body text (2)"/>
    <w:basedOn w:val="Normal"/>
    <w:link w:val="CharStyle19"/>
    <w:pPr>
      <w:widowControl w:val="0"/>
      <w:shd w:val="clear" w:color="auto" w:fill="auto"/>
      <w:ind w:left="406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100"/>
      <w:ind w:left="478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png"/><Relationship Id="rId10" Type="http://schemas.openxmlformats.org/officeDocument/2006/relationships/image" Target="media/image1.png" TargetMode="Externa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